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6038A4" w14:paraId="2464A02E" w14:textId="77777777">
        <w:tblPrEx>
          <w:tblCellMar>
            <w:top w:w="0" w:type="dxa"/>
            <w:bottom w:w="0" w:type="dxa"/>
          </w:tblCellMar>
        </w:tblPrEx>
        <w:trPr>
          <w:tblCellSpacing w:w="60" w:type="dxa"/>
        </w:trPr>
        <w:tc>
          <w:tcPr>
            <w:tcW w:w="1200" w:type="pct"/>
            <w:shd w:val="clear" w:color="auto" w:fill="E7F0F9"/>
          </w:tcPr>
          <w:p w14:paraId="54A67ADA" w14:textId="77777777" w:rsidR="006038A4" w:rsidRDefault="00000000">
            <w:pPr>
              <w:spacing w:after="0" w:line="240" w:lineRule="auto"/>
            </w:pPr>
            <w:r>
              <w:rPr>
                <w:b/>
              </w:rPr>
              <w:t>RKP broj</w:t>
            </w:r>
          </w:p>
        </w:tc>
        <w:tc>
          <w:tcPr>
            <w:tcW w:w="0" w:type="auto"/>
            <w:shd w:val="clear" w:color="auto" w:fill="E7F0F9"/>
          </w:tcPr>
          <w:p w14:paraId="11C3ECEB" w14:textId="77777777" w:rsidR="006038A4" w:rsidRDefault="00000000">
            <w:pPr>
              <w:spacing w:after="0" w:line="240" w:lineRule="auto"/>
            </w:pPr>
            <w:r>
              <w:t>42311</w:t>
            </w:r>
          </w:p>
        </w:tc>
      </w:tr>
      <w:tr w:rsidR="006038A4" w14:paraId="39D123CB" w14:textId="77777777">
        <w:tblPrEx>
          <w:tblCellMar>
            <w:top w:w="0" w:type="dxa"/>
            <w:bottom w:w="0" w:type="dxa"/>
          </w:tblCellMar>
        </w:tblPrEx>
        <w:trPr>
          <w:tblCellSpacing w:w="60" w:type="dxa"/>
        </w:trPr>
        <w:tc>
          <w:tcPr>
            <w:tcW w:w="1200" w:type="pct"/>
            <w:shd w:val="clear" w:color="auto" w:fill="E7F0F9"/>
          </w:tcPr>
          <w:p w14:paraId="4361D004" w14:textId="77777777" w:rsidR="006038A4" w:rsidRDefault="00000000">
            <w:pPr>
              <w:spacing w:after="0" w:line="240" w:lineRule="auto"/>
            </w:pPr>
            <w:r>
              <w:rPr>
                <w:b/>
              </w:rPr>
              <w:t>Naziv obveznika</w:t>
            </w:r>
          </w:p>
        </w:tc>
        <w:tc>
          <w:tcPr>
            <w:tcW w:w="0" w:type="auto"/>
            <w:shd w:val="clear" w:color="auto" w:fill="E7F0F9"/>
          </w:tcPr>
          <w:p w14:paraId="1A75F1FD" w14:textId="77777777" w:rsidR="006038A4" w:rsidRDefault="00000000">
            <w:pPr>
              <w:spacing w:after="0" w:line="240" w:lineRule="auto"/>
            </w:pPr>
            <w:r>
              <w:t>Javna ustanova Agencija za upravljanje zaštićenim prirodnim vrijednostima na području Osječko-baranjske županije</w:t>
            </w:r>
          </w:p>
        </w:tc>
      </w:tr>
      <w:tr w:rsidR="006038A4" w14:paraId="51BDD5B1" w14:textId="77777777">
        <w:tblPrEx>
          <w:tblCellMar>
            <w:top w:w="0" w:type="dxa"/>
            <w:bottom w:w="0" w:type="dxa"/>
          </w:tblCellMar>
        </w:tblPrEx>
        <w:trPr>
          <w:tblCellSpacing w:w="60" w:type="dxa"/>
        </w:trPr>
        <w:tc>
          <w:tcPr>
            <w:tcW w:w="1200" w:type="pct"/>
            <w:shd w:val="clear" w:color="auto" w:fill="E7F0F9"/>
          </w:tcPr>
          <w:p w14:paraId="2756F505" w14:textId="77777777" w:rsidR="006038A4" w:rsidRDefault="00000000">
            <w:pPr>
              <w:spacing w:after="0" w:line="240" w:lineRule="auto"/>
            </w:pPr>
            <w:r>
              <w:rPr>
                <w:b/>
              </w:rPr>
              <w:t>Razina</w:t>
            </w:r>
          </w:p>
        </w:tc>
        <w:tc>
          <w:tcPr>
            <w:tcW w:w="0" w:type="auto"/>
            <w:shd w:val="clear" w:color="auto" w:fill="E7F0F9"/>
          </w:tcPr>
          <w:p w14:paraId="4E02853A" w14:textId="77777777" w:rsidR="006038A4" w:rsidRDefault="00000000">
            <w:pPr>
              <w:spacing w:after="0" w:line="240" w:lineRule="auto"/>
            </w:pPr>
            <w:r>
              <w:t>21</w:t>
            </w:r>
          </w:p>
        </w:tc>
      </w:tr>
    </w:tbl>
    <w:p w14:paraId="7ABBB60C" w14:textId="77777777" w:rsidR="006038A4" w:rsidRDefault="00000000">
      <w:r>
        <w:br/>
      </w:r>
    </w:p>
    <w:p w14:paraId="0E43E6E5" w14:textId="77777777" w:rsidR="006038A4" w:rsidRDefault="00000000">
      <w:pPr>
        <w:spacing w:line="240" w:lineRule="auto"/>
        <w:jc w:val="center"/>
      </w:pPr>
      <w:r>
        <w:rPr>
          <w:b/>
          <w:sz w:val="28"/>
        </w:rPr>
        <w:t>BILJEŠKE UZ FINANCIJSKE IZVJEŠTAJE</w:t>
      </w:r>
    </w:p>
    <w:p w14:paraId="5DFD8E78" w14:textId="77777777" w:rsidR="006038A4" w:rsidRDefault="00000000">
      <w:pPr>
        <w:spacing w:line="240" w:lineRule="auto"/>
        <w:jc w:val="center"/>
      </w:pPr>
      <w:r>
        <w:rPr>
          <w:b/>
          <w:sz w:val="28"/>
        </w:rPr>
        <w:t>ZA RAZDOBLJE</w:t>
      </w:r>
    </w:p>
    <w:p w14:paraId="634F8309" w14:textId="77777777" w:rsidR="006038A4" w:rsidRDefault="00000000">
      <w:pPr>
        <w:spacing w:line="240" w:lineRule="auto"/>
        <w:jc w:val="center"/>
      </w:pPr>
      <w:r>
        <w:rPr>
          <w:b/>
          <w:sz w:val="28"/>
        </w:rPr>
        <w:t>I - XII 2025.</w:t>
      </w:r>
    </w:p>
    <w:p w14:paraId="7C62CA41" w14:textId="77777777" w:rsidR="006038A4" w:rsidRDefault="006038A4"/>
    <w:p w14:paraId="74F62595" w14:textId="77777777" w:rsidR="006038A4" w:rsidRDefault="00000000">
      <w:pPr>
        <w:keepNext/>
        <w:spacing w:line="240" w:lineRule="auto"/>
        <w:jc w:val="center"/>
      </w:pPr>
      <w:r>
        <w:rPr>
          <w:b/>
          <w:sz w:val="28"/>
        </w:rPr>
        <w:t>Izvještaj o prihodima i rashodima, primicima i izdacima</w:t>
      </w:r>
    </w:p>
    <w:p w14:paraId="220CBCA4" w14:textId="77777777" w:rsidR="006038A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58A84D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DAEA0"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11222A"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890A2"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15591"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2C76CA"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D5F86E" w14:textId="77777777" w:rsidR="006038A4" w:rsidRDefault="00000000">
            <w:pPr>
              <w:keepNext/>
              <w:keepLines/>
              <w:spacing w:after="0" w:line="240" w:lineRule="auto"/>
              <w:jc w:val="center"/>
            </w:pPr>
            <w:r>
              <w:rPr>
                <w:b/>
                <w:sz w:val="18"/>
              </w:rPr>
              <w:t>Indeks (%)</w:t>
            </w:r>
          </w:p>
        </w:tc>
      </w:tr>
      <w:tr w:rsidR="006038A4" w14:paraId="0F2B116C" w14:textId="77777777">
        <w:tblPrEx>
          <w:tblCellMar>
            <w:top w:w="0" w:type="dxa"/>
            <w:bottom w:w="0" w:type="dxa"/>
          </w:tblCellMar>
        </w:tblPrEx>
        <w:trPr>
          <w:cantSplit/>
          <w:trHeight w:val="560"/>
        </w:trPr>
        <w:tc>
          <w:tcPr>
            <w:tcW w:w="700" w:type="dxa"/>
            <w:tcMar>
              <w:top w:w="0" w:type="dxa"/>
              <w:bottom w:w="0" w:type="dxa"/>
            </w:tcMar>
            <w:vAlign w:val="center"/>
          </w:tcPr>
          <w:p w14:paraId="4BB7FAA0" w14:textId="77777777" w:rsidR="006038A4" w:rsidRDefault="00000000">
            <w:pPr>
              <w:keepNext/>
              <w:keepLines/>
              <w:spacing w:after="0" w:line="240" w:lineRule="auto"/>
            </w:pPr>
            <w:r>
              <w:rPr>
                <w:sz w:val="18"/>
              </w:rPr>
              <w:t>6</w:t>
            </w:r>
          </w:p>
        </w:tc>
        <w:tc>
          <w:tcPr>
            <w:tcW w:w="3180" w:type="dxa"/>
            <w:tcMar>
              <w:top w:w="0" w:type="dxa"/>
              <w:bottom w:w="0" w:type="dxa"/>
            </w:tcMar>
            <w:vAlign w:val="center"/>
          </w:tcPr>
          <w:p w14:paraId="6C16A8BC" w14:textId="77777777" w:rsidR="006038A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C54219E" w14:textId="77777777" w:rsidR="006038A4" w:rsidRDefault="00000000">
            <w:pPr>
              <w:keepNext/>
              <w:keepLines/>
              <w:spacing w:after="0" w:line="240" w:lineRule="auto"/>
            </w:pPr>
            <w:r>
              <w:rPr>
                <w:sz w:val="18"/>
              </w:rPr>
              <w:t>6</w:t>
            </w:r>
          </w:p>
        </w:tc>
        <w:tc>
          <w:tcPr>
            <w:tcW w:w="1860" w:type="dxa"/>
            <w:tcMar>
              <w:top w:w="0" w:type="dxa"/>
              <w:bottom w:w="0" w:type="dxa"/>
            </w:tcMar>
            <w:vAlign w:val="center"/>
          </w:tcPr>
          <w:p w14:paraId="029A84D7" w14:textId="77777777" w:rsidR="006038A4" w:rsidRDefault="00000000">
            <w:pPr>
              <w:keepNext/>
              <w:keepLines/>
              <w:spacing w:after="0" w:line="240" w:lineRule="auto"/>
              <w:jc w:val="right"/>
            </w:pPr>
            <w:r>
              <w:rPr>
                <w:sz w:val="18"/>
              </w:rPr>
              <w:t>430.806,15</w:t>
            </w:r>
          </w:p>
        </w:tc>
        <w:tc>
          <w:tcPr>
            <w:tcW w:w="1860" w:type="dxa"/>
            <w:tcMar>
              <w:top w:w="0" w:type="dxa"/>
              <w:bottom w:w="0" w:type="dxa"/>
            </w:tcMar>
            <w:vAlign w:val="center"/>
          </w:tcPr>
          <w:p w14:paraId="7CE6E8CB" w14:textId="77777777" w:rsidR="006038A4" w:rsidRDefault="00000000">
            <w:pPr>
              <w:keepNext/>
              <w:keepLines/>
              <w:spacing w:after="0" w:line="240" w:lineRule="auto"/>
              <w:jc w:val="right"/>
            </w:pPr>
            <w:r>
              <w:rPr>
                <w:sz w:val="18"/>
              </w:rPr>
              <w:t>583.901,51</w:t>
            </w:r>
          </w:p>
        </w:tc>
        <w:tc>
          <w:tcPr>
            <w:tcW w:w="700" w:type="dxa"/>
            <w:tcMar>
              <w:top w:w="0" w:type="dxa"/>
              <w:bottom w:w="0" w:type="dxa"/>
            </w:tcMar>
            <w:vAlign w:val="center"/>
          </w:tcPr>
          <w:p w14:paraId="417DB8E5" w14:textId="77777777" w:rsidR="006038A4" w:rsidRDefault="00000000">
            <w:pPr>
              <w:keepNext/>
              <w:keepLines/>
              <w:spacing w:after="0" w:line="240" w:lineRule="auto"/>
              <w:jc w:val="right"/>
            </w:pPr>
            <w:r>
              <w:rPr>
                <w:sz w:val="18"/>
              </w:rPr>
              <w:t>135,5</w:t>
            </w:r>
          </w:p>
        </w:tc>
      </w:tr>
      <w:tr w:rsidR="006038A4" w14:paraId="6AAFA46A" w14:textId="77777777">
        <w:tblPrEx>
          <w:tblCellMar>
            <w:top w:w="0" w:type="dxa"/>
            <w:bottom w:w="0" w:type="dxa"/>
          </w:tblCellMar>
        </w:tblPrEx>
        <w:trPr>
          <w:cantSplit/>
          <w:trHeight w:val="560"/>
        </w:trPr>
        <w:tc>
          <w:tcPr>
            <w:tcW w:w="700" w:type="dxa"/>
            <w:tcMar>
              <w:top w:w="0" w:type="dxa"/>
              <w:bottom w:w="0" w:type="dxa"/>
            </w:tcMar>
            <w:vAlign w:val="center"/>
          </w:tcPr>
          <w:p w14:paraId="024802C0" w14:textId="77777777" w:rsidR="006038A4" w:rsidRDefault="00000000">
            <w:pPr>
              <w:keepNext/>
              <w:keepLines/>
              <w:spacing w:after="0" w:line="240" w:lineRule="auto"/>
            </w:pPr>
            <w:r>
              <w:rPr>
                <w:sz w:val="18"/>
              </w:rPr>
              <w:t>3</w:t>
            </w:r>
          </w:p>
        </w:tc>
        <w:tc>
          <w:tcPr>
            <w:tcW w:w="3180" w:type="dxa"/>
            <w:tcMar>
              <w:top w:w="0" w:type="dxa"/>
              <w:bottom w:w="0" w:type="dxa"/>
            </w:tcMar>
            <w:vAlign w:val="center"/>
          </w:tcPr>
          <w:p w14:paraId="1F9E412A" w14:textId="77777777" w:rsidR="006038A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536B1B1" w14:textId="77777777" w:rsidR="006038A4" w:rsidRDefault="00000000">
            <w:pPr>
              <w:keepNext/>
              <w:keepLines/>
              <w:spacing w:after="0" w:line="240" w:lineRule="auto"/>
            </w:pPr>
            <w:r>
              <w:rPr>
                <w:sz w:val="18"/>
              </w:rPr>
              <w:t>3</w:t>
            </w:r>
          </w:p>
        </w:tc>
        <w:tc>
          <w:tcPr>
            <w:tcW w:w="1860" w:type="dxa"/>
            <w:tcMar>
              <w:top w:w="0" w:type="dxa"/>
              <w:bottom w:w="0" w:type="dxa"/>
            </w:tcMar>
            <w:vAlign w:val="center"/>
          </w:tcPr>
          <w:p w14:paraId="6E4B9E14" w14:textId="77777777" w:rsidR="006038A4" w:rsidRDefault="00000000">
            <w:pPr>
              <w:keepNext/>
              <w:keepLines/>
              <w:spacing w:after="0" w:line="240" w:lineRule="auto"/>
              <w:jc w:val="right"/>
            </w:pPr>
            <w:r>
              <w:rPr>
                <w:sz w:val="18"/>
              </w:rPr>
              <w:t>466.005,23</w:t>
            </w:r>
          </w:p>
        </w:tc>
        <w:tc>
          <w:tcPr>
            <w:tcW w:w="1860" w:type="dxa"/>
            <w:tcMar>
              <w:top w:w="0" w:type="dxa"/>
              <w:bottom w:w="0" w:type="dxa"/>
            </w:tcMar>
            <w:vAlign w:val="center"/>
          </w:tcPr>
          <w:p w14:paraId="65FC49BE" w14:textId="77777777" w:rsidR="006038A4" w:rsidRDefault="00000000">
            <w:pPr>
              <w:keepNext/>
              <w:keepLines/>
              <w:spacing w:after="0" w:line="240" w:lineRule="auto"/>
              <w:jc w:val="right"/>
            </w:pPr>
            <w:r>
              <w:rPr>
                <w:sz w:val="18"/>
              </w:rPr>
              <w:t>597.563,03</w:t>
            </w:r>
          </w:p>
        </w:tc>
        <w:tc>
          <w:tcPr>
            <w:tcW w:w="700" w:type="dxa"/>
            <w:tcMar>
              <w:top w:w="0" w:type="dxa"/>
              <w:bottom w:w="0" w:type="dxa"/>
            </w:tcMar>
            <w:vAlign w:val="center"/>
          </w:tcPr>
          <w:p w14:paraId="1AA5EE32" w14:textId="77777777" w:rsidR="006038A4" w:rsidRDefault="00000000">
            <w:pPr>
              <w:keepNext/>
              <w:keepLines/>
              <w:spacing w:after="0" w:line="240" w:lineRule="auto"/>
              <w:jc w:val="right"/>
            </w:pPr>
            <w:r>
              <w:rPr>
                <w:sz w:val="18"/>
              </w:rPr>
              <w:t>128,2</w:t>
            </w:r>
          </w:p>
        </w:tc>
      </w:tr>
      <w:tr w:rsidR="006038A4" w14:paraId="3343E08E" w14:textId="77777777">
        <w:tblPrEx>
          <w:tblCellMar>
            <w:top w:w="0" w:type="dxa"/>
            <w:bottom w:w="0" w:type="dxa"/>
          </w:tblCellMar>
        </w:tblPrEx>
        <w:trPr>
          <w:cantSplit/>
          <w:trHeight w:val="560"/>
        </w:trPr>
        <w:tc>
          <w:tcPr>
            <w:tcW w:w="700" w:type="dxa"/>
            <w:tcMar>
              <w:top w:w="0" w:type="dxa"/>
              <w:bottom w:w="0" w:type="dxa"/>
            </w:tcMar>
            <w:vAlign w:val="center"/>
          </w:tcPr>
          <w:p w14:paraId="6F4375CF" w14:textId="77777777" w:rsidR="006038A4" w:rsidRDefault="006038A4">
            <w:pPr>
              <w:keepNext/>
              <w:keepLines/>
              <w:spacing w:after="0" w:line="240" w:lineRule="auto"/>
            </w:pPr>
          </w:p>
        </w:tc>
        <w:tc>
          <w:tcPr>
            <w:tcW w:w="3180" w:type="dxa"/>
            <w:tcMar>
              <w:top w:w="0" w:type="dxa"/>
              <w:bottom w:w="0" w:type="dxa"/>
            </w:tcMar>
            <w:vAlign w:val="center"/>
          </w:tcPr>
          <w:p w14:paraId="0A0B7758" w14:textId="77777777" w:rsidR="006038A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74EE293B" w14:textId="77777777" w:rsidR="006038A4" w:rsidRDefault="00000000">
            <w:pPr>
              <w:keepNext/>
              <w:keepLines/>
              <w:spacing w:after="0" w:line="240" w:lineRule="auto"/>
            </w:pPr>
            <w:r>
              <w:rPr>
                <w:b/>
                <w:sz w:val="18"/>
              </w:rPr>
              <w:t>Y001</w:t>
            </w:r>
          </w:p>
        </w:tc>
        <w:tc>
          <w:tcPr>
            <w:tcW w:w="1860" w:type="dxa"/>
            <w:tcMar>
              <w:top w:w="0" w:type="dxa"/>
              <w:bottom w:w="0" w:type="dxa"/>
            </w:tcMar>
            <w:vAlign w:val="center"/>
          </w:tcPr>
          <w:p w14:paraId="6FB0BA76" w14:textId="77777777" w:rsidR="006038A4" w:rsidRDefault="00000000">
            <w:pPr>
              <w:keepNext/>
              <w:keepLines/>
              <w:spacing w:after="0" w:line="240" w:lineRule="auto"/>
              <w:jc w:val="right"/>
            </w:pPr>
            <w:r>
              <w:rPr>
                <w:b/>
                <w:sz w:val="18"/>
              </w:rPr>
              <w:t>35.199,08</w:t>
            </w:r>
          </w:p>
        </w:tc>
        <w:tc>
          <w:tcPr>
            <w:tcW w:w="1860" w:type="dxa"/>
            <w:tcMar>
              <w:top w:w="0" w:type="dxa"/>
              <w:bottom w:w="0" w:type="dxa"/>
            </w:tcMar>
            <w:vAlign w:val="center"/>
          </w:tcPr>
          <w:p w14:paraId="69EE2EC9" w14:textId="77777777" w:rsidR="006038A4" w:rsidRDefault="00000000">
            <w:pPr>
              <w:keepNext/>
              <w:keepLines/>
              <w:spacing w:after="0" w:line="240" w:lineRule="auto"/>
              <w:jc w:val="right"/>
            </w:pPr>
            <w:r>
              <w:rPr>
                <w:b/>
                <w:sz w:val="18"/>
              </w:rPr>
              <w:t>13.661,52</w:t>
            </w:r>
          </w:p>
        </w:tc>
        <w:tc>
          <w:tcPr>
            <w:tcW w:w="700" w:type="dxa"/>
            <w:tcMar>
              <w:top w:w="0" w:type="dxa"/>
              <w:bottom w:w="0" w:type="dxa"/>
            </w:tcMar>
            <w:vAlign w:val="center"/>
          </w:tcPr>
          <w:p w14:paraId="7185C0D7" w14:textId="77777777" w:rsidR="006038A4" w:rsidRDefault="00000000">
            <w:pPr>
              <w:keepNext/>
              <w:keepLines/>
              <w:spacing w:after="0" w:line="240" w:lineRule="auto"/>
              <w:jc w:val="right"/>
            </w:pPr>
            <w:r>
              <w:rPr>
                <w:b/>
                <w:sz w:val="18"/>
              </w:rPr>
              <w:t>38,8</w:t>
            </w:r>
          </w:p>
        </w:tc>
      </w:tr>
      <w:tr w:rsidR="006038A4" w14:paraId="5A644CB8" w14:textId="77777777">
        <w:tblPrEx>
          <w:tblCellMar>
            <w:top w:w="0" w:type="dxa"/>
            <w:bottom w:w="0" w:type="dxa"/>
          </w:tblCellMar>
        </w:tblPrEx>
        <w:trPr>
          <w:cantSplit/>
          <w:trHeight w:val="560"/>
        </w:trPr>
        <w:tc>
          <w:tcPr>
            <w:tcW w:w="700" w:type="dxa"/>
            <w:tcMar>
              <w:top w:w="0" w:type="dxa"/>
              <w:bottom w:w="0" w:type="dxa"/>
            </w:tcMar>
            <w:vAlign w:val="center"/>
          </w:tcPr>
          <w:p w14:paraId="4E0A8984" w14:textId="77777777" w:rsidR="006038A4" w:rsidRDefault="00000000">
            <w:pPr>
              <w:keepNext/>
              <w:keepLines/>
              <w:spacing w:after="0" w:line="240" w:lineRule="auto"/>
            </w:pPr>
            <w:r>
              <w:rPr>
                <w:sz w:val="18"/>
              </w:rPr>
              <w:t>7</w:t>
            </w:r>
          </w:p>
        </w:tc>
        <w:tc>
          <w:tcPr>
            <w:tcW w:w="3180" w:type="dxa"/>
            <w:tcMar>
              <w:top w:w="0" w:type="dxa"/>
              <w:bottom w:w="0" w:type="dxa"/>
            </w:tcMar>
            <w:vAlign w:val="center"/>
          </w:tcPr>
          <w:p w14:paraId="054A764E" w14:textId="77777777" w:rsidR="006038A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4A950A7" w14:textId="77777777" w:rsidR="006038A4" w:rsidRDefault="00000000">
            <w:pPr>
              <w:keepNext/>
              <w:keepLines/>
              <w:spacing w:after="0" w:line="240" w:lineRule="auto"/>
            </w:pPr>
            <w:r>
              <w:rPr>
                <w:sz w:val="18"/>
              </w:rPr>
              <w:t>7</w:t>
            </w:r>
          </w:p>
        </w:tc>
        <w:tc>
          <w:tcPr>
            <w:tcW w:w="1860" w:type="dxa"/>
            <w:tcMar>
              <w:top w:w="0" w:type="dxa"/>
              <w:bottom w:w="0" w:type="dxa"/>
            </w:tcMar>
            <w:vAlign w:val="center"/>
          </w:tcPr>
          <w:p w14:paraId="3E87C0A1"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78F5AF89"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045C0CD0" w14:textId="77777777" w:rsidR="006038A4" w:rsidRDefault="00000000">
            <w:pPr>
              <w:keepNext/>
              <w:keepLines/>
              <w:spacing w:after="0" w:line="240" w:lineRule="auto"/>
              <w:jc w:val="right"/>
            </w:pPr>
            <w:r>
              <w:rPr>
                <w:sz w:val="18"/>
              </w:rPr>
              <w:t>-</w:t>
            </w:r>
          </w:p>
        </w:tc>
      </w:tr>
      <w:tr w:rsidR="006038A4" w14:paraId="03D48515" w14:textId="77777777">
        <w:tblPrEx>
          <w:tblCellMar>
            <w:top w:w="0" w:type="dxa"/>
            <w:bottom w:w="0" w:type="dxa"/>
          </w:tblCellMar>
        </w:tblPrEx>
        <w:trPr>
          <w:cantSplit/>
          <w:trHeight w:val="560"/>
        </w:trPr>
        <w:tc>
          <w:tcPr>
            <w:tcW w:w="700" w:type="dxa"/>
            <w:tcMar>
              <w:top w:w="0" w:type="dxa"/>
              <w:bottom w:w="0" w:type="dxa"/>
            </w:tcMar>
            <w:vAlign w:val="center"/>
          </w:tcPr>
          <w:p w14:paraId="54E021C8" w14:textId="77777777" w:rsidR="006038A4" w:rsidRDefault="00000000">
            <w:pPr>
              <w:keepNext/>
              <w:keepLines/>
              <w:spacing w:after="0" w:line="240" w:lineRule="auto"/>
            </w:pPr>
            <w:r>
              <w:rPr>
                <w:sz w:val="18"/>
              </w:rPr>
              <w:t>4</w:t>
            </w:r>
          </w:p>
        </w:tc>
        <w:tc>
          <w:tcPr>
            <w:tcW w:w="3180" w:type="dxa"/>
            <w:tcMar>
              <w:top w:w="0" w:type="dxa"/>
              <w:bottom w:w="0" w:type="dxa"/>
            </w:tcMar>
            <w:vAlign w:val="center"/>
          </w:tcPr>
          <w:p w14:paraId="357CE7EC" w14:textId="77777777" w:rsidR="006038A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3DA22A7" w14:textId="77777777" w:rsidR="006038A4" w:rsidRDefault="00000000">
            <w:pPr>
              <w:keepNext/>
              <w:keepLines/>
              <w:spacing w:after="0" w:line="240" w:lineRule="auto"/>
            </w:pPr>
            <w:r>
              <w:rPr>
                <w:sz w:val="18"/>
              </w:rPr>
              <w:t>4</w:t>
            </w:r>
          </w:p>
        </w:tc>
        <w:tc>
          <w:tcPr>
            <w:tcW w:w="1860" w:type="dxa"/>
            <w:tcMar>
              <w:top w:w="0" w:type="dxa"/>
              <w:bottom w:w="0" w:type="dxa"/>
            </w:tcMar>
            <w:vAlign w:val="center"/>
          </w:tcPr>
          <w:p w14:paraId="327012F2" w14:textId="77777777" w:rsidR="006038A4" w:rsidRDefault="00000000">
            <w:pPr>
              <w:keepNext/>
              <w:keepLines/>
              <w:spacing w:after="0" w:line="240" w:lineRule="auto"/>
              <w:jc w:val="right"/>
            </w:pPr>
            <w:r>
              <w:rPr>
                <w:sz w:val="18"/>
              </w:rPr>
              <w:t>4.782,62</w:t>
            </w:r>
          </w:p>
        </w:tc>
        <w:tc>
          <w:tcPr>
            <w:tcW w:w="1860" w:type="dxa"/>
            <w:tcMar>
              <w:top w:w="0" w:type="dxa"/>
              <w:bottom w:w="0" w:type="dxa"/>
            </w:tcMar>
            <w:vAlign w:val="center"/>
          </w:tcPr>
          <w:p w14:paraId="1093A330" w14:textId="77777777" w:rsidR="006038A4" w:rsidRDefault="00000000">
            <w:pPr>
              <w:keepNext/>
              <w:keepLines/>
              <w:spacing w:after="0" w:line="240" w:lineRule="auto"/>
              <w:jc w:val="right"/>
            </w:pPr>
            <w:r>
              <w:rPr>
                <w:sz w:val="18"/>
              </w:rPr>
              <w:t>0,14</w:t>
            </w:r>
          </w:p>
        </w:tc>
        <w:tc>
          <w:tcPr>
            <w:tcW w:w="700" w:type="dxa"/>
            <w:tcMar>
              <w:top w:w="0" w:type="dxa"/>
              <w:bottom w:w="0" w:type="dxa"/>
            </w:tcMar>
            <w:vAlign w:val="center"/>
          </w:tcPr>
          <w:p w14:paraId="0AE810AD" w14:textId="77777777" w:rsidR="006038A4" w:rsidRDefault="00000000">
            <w:pPr>
              <w:keepNext/>
              <w:keepLines/>
              <w:spacing w:after="0" w:line="240" w:lineRule="auto"/>
              <w:jc w:val="right"/>
            </w:pPr>
            <w:r>
              <w:rPr>
                <w:sz w:val="18"/>
              </w:rPr>
              <w:t>0,0</w:t>
            </w:r>
          </w:p>
        </w:tc>
      </w:tr>
      <w:tr w:rsidR="006038A4" w14:paraId="570FD702" w14:textId="77777777">
        <w:tblPrEx>
          <w:tblCellMar>
            <w:top w:w="0" w:type="dxa"/>
            <w:bottom w:w="0" w:type="dxa"/>
          </w:tblCellMar>
        </w:tblPrEx>
        <w:trPr>
          <w:cantSplit/>
          <w:trHeight w:val="560"/>
        </w:trPr>
        <w:tc>
          <w:tcPr>
            <w:tcW w:w="700" w:type="dxa"/>
            <w:tcMar>
              <w:top w:w="0" w:type="dxa"/>
              <w:bottom w:w="0" w:type="dxa"/>
            </w:tcMar>
            <w:vAlign w:val="center"/>
          </w:tcPr>
          <w:p w14:paraId="0B022E01" w14:textId="77777777" w:rsidR="006038A4" w:rsidRDefault="006038A4">
            <w:pPr>
              <w:keepNext/>
              <w:keepLines/>
              <w:spacing w:after="0" w:line="240" w:lineRule="auto"/>
            </w:pPr>
          </w:p>
        </w:tc>
        <w:tc>
          <w:tcPr>
            <w:tcW w:w="3180" w:type="dxa"/>
            <w:tcMar>
              <w:top w:w="0" w:type="dxa"/>
              <w:bottom w:w="0" w:type="dxa"/>
            </w:tcMar>
            <w:vAlign w:val="center"/>
          </w:tcPr>
          <w:p w14:paraId="6DAB98C1" w14:textId="77777777" w:rsidR="006038A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B100D63" w14:textId="77777777" w:rsidR="006038A4" w:rsidRDefault="00000000">
            <w:pPr>
              <w:keepNext/>
              <w:keepLines/>
              <w:spacing w:after="0" w:line="240" w:lineRule="auto"/>
            </w:pPr>
            <w:r>
              <w:rPr>
                <w:b/>
                <w:sz w:val="18"/>
              </w:rPr>
              <w:t>Y002</w:t>
            </w:r>
          </w:p>
        </w:tc>
        <w:tc>
          <w:tcPr>
            <w:tcW w:w="1860" w:type="dxa"/>
            <w:tcMar>
              <w:top w:w="0" w:type="dxa"/>
              <w:bottom w:w="0" w:type="dxa"/>
            </w:tcMar>
            <w:vAlign w:val="center"/>
          </w:tcPr>
          <w:p w14:paraId="61DE70BF" w14:textId="77777777" w:rsidR="006038A4" w:rsidRDefault="00000000">
            <w:pPr>
              <w:keepNext/>
              <w:keepLines/>
              <w:spacing w:after="0" w:line="240" w:lineRule="auto"/>
              <w:jc w:val="right"/>
            </w:pPr>
            <w:r>
              <w:rPr>
                <w:b/>
                <w:sz w:val="18"/>
              </w:rPr>
              <w:t>4.782,62</w:t>
            </w:r>
          </w:p>
        </w:tc>
        <w:tc>
          <w:tcPr>
            <w:tcW w:w="1860" w:type="dxa"/>
            <w:tcMar>
              <w:top w:w="0" w:type="dxa"/>
              <w:bottom w:w="0" w:type="dxa"/>
            </w:tcMar>
            <w:vAlign w:val="center"/>
          </w:tcPr>
          <w:p w14:paraId="2D982AE0" w14:textId="77777777" w:rsidR="006038A4" w:rsidRDefault="00000000">
            <w:pPr>
              <w:keepNext/>
              <w:keepLines/>
              <w:spacing w:after="0" w:line="240" w:lineRule="auto"/>
              <w:jc w:val="right"/>
            </w:pPr>
            <w:r>
              <w:rPr>
                <w:b/>
                <w:sz w:val="18"/>
              </w:rPr>
              <w:t>0,14</w:t>
            </w:r>
          </w:p>
        </w:tc>
        <w:tc>
          <w:tcPr>
            <w:tcW w:w="700" w:type="dxa"/>
            <w:tcMar>
              <w:top w:w="0" w:type="dxa"/>
              <w:bottom w:w="0" w:type="dxa"/>
            </w:tcMar>
            <w:vAlign w:val="center"/>
          </w:tcPr>
          <w:p w14:paraId="41B1A4E6" w14:textId="77777777" w:rsidR="006038A4" w:rsidRDefault="00000000">
            <w:pPr>
              <w:keepNext/>
              <w:keepLines/>
              <w:spacing w:after="0" w:line="240" w:lineRule="auto"/>
              <w:jc w:val="right"/>
            </w:pPr>
            <w:r>
              <w:rPr>
                <w:b/>
                <w:sz w:val="18"/>
              </w:rPr>
              <w:t>0,0</w:t>
            </w:r>
          </w:p>
        </w:tc>
      </w:tr>
      <w:tr w:rsidR="006038A4" w14:paraId="79CC3831" w14:textId="77777777">
        <w:tblPrEx>
          <w:tblCellMar>
            <w:top w:w="0" w:type="dxa"/>
            <w:bottom w:w="0" w:type="dxa"/>
          </w:tblCellMar>
        </w:tblPrEx>
        <w:trPr>
          <w:cantSplit/>
          <w:trHeight w:val="560"/>
        </w:trPr>
        <w:tc>
          <w:tcPr>
            <w:tcW w:w="700" w:type="dxa"/>
            <w:tcMar>
              <w:top w:w="0" w:type="dxa"/>
              <w:bottom w:w="0" w:type="dxa"/>
            </w:tcMar>
            <w:vAlign w:val="center"/>
          </w:tcPr>
          <w:p w14:paraId="15B83E32" w14:textId="77777777" w:rsidR="006038A4" w:rsidRDefault="00000000">
            <w:pPr>
              <w:keepNext/>
              <w:keepLines/>
              <w:spacing w:after="0" w:line="240" w:lineRule="auto"/>
            </w:pPr>
            <w:r>
              <w:rPr>
                <w:sz w:val="18"/>
              </w:rPr>
              <w:t>8</w:t>
            </w:r>
          </w:p>
        </w:tc>
        <w:tc>
          <w:tcPr>
            <w:tcW w:w="3180" w:type="dxa"/>
            <w:tcMar>
              <w:top w:w="0" w:type="dxa"/>
              <w:bottom w:w="0" w:type="dxa"/>
            </w:tcMar>
            <w:vAlign w:val="center"/>
          </w:tcPr>
          <w:p w14:paraId="5836CF2B" w14:textId="77777777" w:rsidR="006038A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9B677A4" w14:textId="77777777" w:rsidR="006038A4" w:rsidRDefault="00000000">
            <w:pPr>
              <w:keepNext/>
              <w:keepLines/>
              <w:spacing w:after="0" w:line="240" w:lineRule="auto"/>
            </w:pPr>
            <w:r>
              <w:rPr>
                <w:sz w:val="18"/>
              </w:rPr>
              <w:t>8</w:t>
            </w:r>
          </w:p>
        </w:tc>
        <w:tc>
          <w:tcPr>
            <w:tcW w:w="1860" w:type="dxa"/>
            <w:tcMar>
              <w:top w:w="0" w:type="dxa"/>
              <w:bottom w:w="0" w:type="dxa"/>
            </w:tcMar>
            <w:vAlign w:val="center"/>
          </w:tcPr>
          <w:p w14:paraId="7818B24E"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667D5178"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70AB619A" w14:textId="77777777" w:rsidR="006038A4" w:rsidRDefault="00000000">
            <w:pPr>
              <w:keepNext/>
              <w:keepLines/>
              <w:spacing w:after="0" w:line="240" w:lineRule="auto"/>
              <w:jc w:val="right"/>
            </w:pPr>
            <w:r>
              <w:rPr>
                <w:sz w:val="18"/>
              </w:rPr>
              <w:t>-</w:t>
            </w:r>
          </w:p>
        </w:tc>
      </w:tr>
      <w:tr w:rsidR="006038A4" w14:paraId="28E96359" w14:textId="77777777">
        <w:tblPrEx>
          <w:tblCellMar>
            <w:top w:w="0" w:type="dxa"/>
            <w:bottom w:w="0" w:type="dxa"/>
          </w:tblCellMar>
        </w:tblPrEx>
        <w:trPr>
          <w:cantSplit/>
          <w:trHeight w:val="560"/>
        </w:trPr>
        <w:tc>
          <w:tcPr>
            <w:tcW w:w="700" w:type="dxa"/>
            <w:tcMar>
              <w:top w:w="0" w:type="dxa"/>
              <w:bottom w:w="0" w:type="dxa"/>
            </w:tcMar>
            <w:vAlign w:val="center"/>
          </w:tcPr>
          <w:p w14:paraId="2A94BBB2" w14:textId="77777777" w:rsidR="006038A4" w:rsidRDefault="00000000">
            <w:pPr>
              <w:keepNext/>
              <w:keepLines/>
              <w:spacing w:after="0" w:line="240" w:lineRule="auto"/>
            </w:pPr>
            <w:r>
              <w:rPr>
                <w:sz w:val="18"/>
              </w:rPr>
              <w:t>5</w:t>
            </w:r>
          </w:p>
        </w:tc>
        <w:tc>
          <w:tcPr>
            <w:tcW w:w="3180" w:type="dxa"/>
            <w:tcMar>
              <w:top w:w="0" w:type="dxa"/>
              <w:bottom w:w="0" w:type="dxa"/>
            </w:tcMar>
            <w:vAlign w:val="center"/>
          </w:tcPr>
          <w:p w14:paraId="26F153F0" w14:textId="77777777" w:rsidR="006038A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32DE17A" w14:textId="77777777" w:rsidR="006038A4" w:rsidRDefault="00000000">
            <w:pPr>
              <w:keepNext/>
              <w:keepLines/>
              <w:spacing w:after="0" w:line="240" w:lineRule="auto"/>
            </w:pPr>
            <w:r>
              <w:rPr>
                <w:sz w:val="18"/>
              </w:rPr>
              <w:t>5</w:t>
            </w:r>
          </w:p>
        </w:tc>
        <w:tc>
          <w:tcPr>
            <w:tcW w:w="1860" w:type="dxa"/>
            <w:tcMar>
              <w:top w:w="0" w:type="dxa"/>
              <w:bottom w:w="0" w:type="dxa"/>
            </w:tcMar>
            <w:vAlign w:val="center"/>
          </w:tcPr>
          <w:p w14:paraId="622FBD24"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5C77F447"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00E33EB5" w14:textId="77777777" w:rsidR="006038A4" w:rsidRDefault="00000000">
            <w:pPr>
              <w:keepNext/>
              <w:keepLines/>
              <w:spacing w:after="0" w:line="240" w:lineRule="auto"/>
              <w:jc w:val="right"/>
            </w:pPr>
            <w:r>
              <w:rPr>
                <w:sz w:val="18"/>
              </w:rPr>
              <w:t>-</w:t>
            </w:r>
          </w:p>
        </w:tc>
      </w:tr>
      <w:tr w:rsidR="006038A4" w14:paraId="7DD637F2" w14:textId="77777777">
        <w:tblPrEx>
          <w:tblCellMar>
            <w:top w:w="0" w:type="dxa"/>
            <w:bottom w:w="0" w:type="dxa"/>
          </w:tblCellMar>
        </w:tblPrEx>
        <w:trPr>
          <w:cantSplit/>
          <w:trHeight w:val="560"/>
        </w:trPr>
        <w:tc>
          <w:tcPr>
            <w:tcW w:w="700" w:type="dxa"/>
            <w:tcMar>
              <w:top w:w="0" w:type="dxa"/>
              <w:bottom w:w="0" w:type="dxa"/>
            </w:tcMar>
            <w:vAlign w:val="center"/>
          </w:tcPr>
          <w:p w14:paraId="1C950CA6" w14:textId="77777777" w:rsidR="006038A4" w:rsidRDefault="006038A4">
            <w:pPr>
              <w:keepNext/>
              <w:keepLines/>
              <w:spacing w:after="0" w:line="240" w:lineRule="auto"/>
            </w:pPr>
          </w:p>
        </w:tc>
        <w:tc>
          <w:tcPr>
            <w:tcW w:w="3180" w:type="dxa"/>
            <w:tcMar>
              <w:top w:w="0" w:type="dxa"/>
              <w:bottom w:w="0" w:type="dxa"/>
            </w:tcMar>
            <w:vAlign w:val="center"/>
          </w:tcPr>
          <w:p w14:paraId="1D130DF1" w14:textId="77777777" w:rsidR="006038A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F0A9945" w14:textId="77777777" w:rsidR="006038A4" w:rsidRDefault="00000000">
            <w:pPr>
              <w:keepNext/>
              <w:keepLines/>
              <w:spacing w:after="0" w:line="240" w:lineRule="auto"/>
            </w:pPr>
            <w:r>
              <w:rPr>
                <w:b/>
                <w:sz w:val="18"/>
              </w:rPr>
              <w:t>X003, Y003</w:t>
            </w:r>
          </w:p>
        </w:tc>
        <w:tc>
          <w:tcPr>
            <w:tcW w:w="1860" w:type="dxa"/>
            <w:tcMar>
              <w:top w:w="0" w:type="dxa"/>
              <w:bottom w:w="0" w:type="dxa"/>
            </w:tcMar>
            <w:vAlign w:val="center"/>
          </w:tcPr>
          <w:p w14:paraId="54A6F5E5" w14:textId="77777777" w:rsidR="006038A4" w:rsidRDefault="00000000">
            <w:pPr>
              <w:keepNext/>
              <w:keepLines/>
              <w:spacing w:after="0" w:line="240" w:lineRule="auto"/>
              <w:jc w:val="right"/>
            </w:pPr>
            <w:r>
              <w:rPr>
                <w:b/>
                <w:sz w:val="18"/>
              </w:rPr>
              <w:t>0,00</w:t>
            </w:r>
          </w:p>
        </w:tc>
        <w:tc>
          <w:tcPr>
            <w:tcW w:w="1860" w:type="dxa"/>
            <w:tcMar>
              <w:top w:w="0" w:type="dxa"/>
              <w:bottom w:w="0" w:type="dxa"/>
            </w:tcMar>
            <w:vAlign w:val="center"/>
          </w:tcPr>
          <w:p w14:paraId="24344429" w14:textId="77777777" w:rsidR="006038A4" w:rsidRDefault="00000000">
            <w:pPr>
              <w:keepNext/>
              <w:keepLines/>
              <w:spacing w:after="0" w:line="240" w:lineRule="auto"/>
              <w:jc w:val="right"/>
            </w:pPr>
            <w:r>
              <w:rPr>
                <w:b/>
                <w:sz w:val="18"/>
              </w:rPr>
              <w:t>0,00</w:t>
            </w:r>
          </w:p>
        </w:tc>
        <w:tc>
          <w:tcPr>
            <w:tcW w:w="700" w:type="dxa"/>
            <w:tcMar>
              <w:top w:w="0" w:type="dxa"/>
              <w:bottom w:w="0" w:type="dxa"/>
            </w:tcMar>
            <w:vAlign w:val="center"/>
          </w:tcPr>
          <w:p w14:paraId="042796F0" w14:textId="77777777" w:rsidR="006038A4" w:rsidRDefault="00000000">
            <w:pPr>
              <w:keepNext/>
              <w:keepLines/>
              <w:spacing w:after="0" w:line="240" w:lineRule="auto"/>
              <w:jc w:val="right"/>
            </w:pPr>
            <w:r>
              <w:rPr>
                <w:b/>
                <w:sz w:val="18"/>
              </w:rPr>
              <w:t>-</w:t>
            </w:r>
          </w:p>
        </w:tc>
      </w:tr>
      <w:tr w:rsidR="006038A4" w14:paraId="33584B7A" w14:textId="77777777">
        <w:tblPrEx>
          <w:tblCellMar>
            <w:top w:w="0" w:type="dxa"/>
            <w:bottom w:w="0" w:type="dxa"/>
          </w:tblCellMar>
        </w:tblPrEx>
        <w:trPr>
          <w:cantSplit/>
          <w:trHeight w:val="560"/>
        </w:trPr>
        <w:tc>
          <w:tcPr>
            <w:tcW w:w="700" w:type="dxa"/>
            <w:tcMar>
              <w:top w:w="0" w:type="dxa"/>
              <w:bottom w:w="0" w:type="dxa"/>
            </w:tcMar>
            <w:vAlign w:val="center"/>
          </w:tcPr>
          <w:p w14:paraId="1E2D390D" w14:textId="77777777" w:rsidR="006038A4" w:rsidRDefault="006038A4">
            <w:pPr>
              <w:keepNext/>
              <w:keepLines/>
              <w:spacing w:after="0" w:line="240" w:lineRule="auto"/>
            </w:pPr>
          </w:p>
        </w:tc>
        <w:tc>
          <w:tcPr>
            <w:tcW w:w="3180" w:type="dxa"/>
            <w:tcMar>
              <w:top w:w="0" w:type="dxa"/>
              <w:bottom w:w="0" w:type="dxa"/>
            </w:tcMar>
            <w:vAlign w:val="center"/>
          </w:tcPr>
          <w:p w14:paraId="47F25E32" w14:textId="77777777" w:rsidR="006038A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8148007" w14:textId="77777777" w:rsidR="006038A4" w:rsidRDefault="00000000">
            <w:pPr>
              <w:keepNext/>
              <w:keepLines/>
              <w:spacing w:after="0" w:line="240" w:lineRule="auto"/>
            </w:pPr>
            <w:r>
              <w:rPr>
                <w:b/>
                <w:sz w:val="18"/>
              </w:rPr>
              <w:t>Y005</w:t>
            </w:r>
          </w:p>
        </w:tc>
        <w:tc>
          <w:tcPr>
            <w:tcW w:w="1860" w:type="dxa"/>
            <w:tcMar>
              <w:top w:w="0" w:type="dxa"/>
              <w:bottom w:w="0" w:type="dxa"/>
            </w:tcMar>
            <w:vAlign w:val="center"/>
          </w:tcPr>
          <w:p w14:paraId="05805A8C" w14:textId="77777777" w:rsidR="006038A4" w:rsidRDefault="00000000">
            <w:pPr>
              <w:keepNext/>
              <w:keepLines/>
              <w:spacing w:after="0" w:line="240" w:lineRule="auto"/>
              <w:jc w:val="right"/>
            </w:pPr>
            <w:r>
              <w:rPr>
                <w:b/>
                <w:sz w:val="18"/>
              </w:rPr>
              <w:t>39.981,70</w:t>
            </w:r>
          </w:p>
        </w:tc>
        <w:tc>
          <w:tcPr>
            <w:tcW w:w="1860" w:type="dxa"/>
            <w:tcMar>
              <w:top w:w="0" w:type="dxa"/>
              <w:bottom w:w="0" w:type="dxa"/>
            </w:tcMar>
            <w:vAlign w:val="center"/>
          </w:tcPr>
          <w:p w14:paraId="281E63B5" w14:textId="77777777" w:rsidR="006038A4" w:rsidRDefault="00000000">
            <w:pPr>
              <w:keepNext/>
              <w:keepLines/>
              <w:spacing w:after="0" w:line="240" w:lineRule="auto"/>
              <w:jc w:val="right"/>
            </w:pPr>
            <w:r>
              <w:rPr>
                <w:b/>
                <w:sz w:val="18"/>
              </w:rPr>
              <w:t>13.661,66</w:t>
            </w:r>
          </w:p>
        </w:tc>
        <w:tc>
          <w:tcPr>
            <w:tcW w:w="700" w:type="dxa"/>
            <w:tcMar>
              <w:top w:w="0" w:type="dxa"/>
              <w:bottom w:w="0" w:type="dxa"/>
            </w:tcMar>
            <w:vAlign w:val="center"/>
          </w:tcPr>
          <w:p w14:paraId="30E3EF18" w14:textId="77777777" w:rsidR="006038A4" w:rsidRDefault="00000000">
            <w:pPr>
              <w:keepNext/>
              <w:keepLines/>
              <w:spacing w:after="0" w:line="240" w:lineRule="auto"/>
              <w:jc w:val="right"/>
            </w:pPr>
            <w:r>
              <w:rPr>
                <w:b/>
                <w:sz w:val="18"/>
              </w:rPr>
              <w:t>34,2</w:t>
            </w:r>
          </w:p>
        </w:tc>
      </w:tr>
    </w:tbl>
    <w:p w14:paraId="5D546667" w14:textId="77777777" w:rsidR="006038A4" w:rsidRDefault="006038A4">
      <w:pPr>
        <w:spacing w:after="0"/>
      </w:pPr>
    </w:p>
    <w:p w14:paraId="09E96A84" w14:textId="77777777" w:rsidR="006038A4" w:rsidRDefault="00000000">
      <w:r>
        <w:t xml:space="preserve">Javna ustanova Agencija za upravljanje zaštićenim prirodnim vrijednostima na području Osječko-baranjske županije bilježi povećanje rashoda poslovanja u odnosu na isto razdoblje prethodne godine, ali isto tako bilježi i povećanje prihoda poslovanja u odnosu na isto razdoblje prethodne godine. Razlog tome je što je u izvještajnom razdoblju za koje se predaje izvješće proveden projekt za koji su ostvareni rashodi te su u istom izvještajnom razdobolju </w:t>
      </w:r>
      <w:r>
        <w:lastRenderedPageBreak/>
        <w:t>ostvareni i prihodi po predanom Zahtjevu za nadoknadom sredstava.  Tijekom izvještajnog razdoblja ne bilježe se primici od prodaje nefinancijske imovine, kao ni značajni primici od financijske imovine i zaduživanja. Bilježi se smanjenje manjka prihoda i primitaka u odnosu na prethodno izvještajno razdoblje, jer je veći dio aktivnosti i opreme u sklopu projekata koji se provode ostvaren u prethodnom razdoblju te se refundacija sredstava očekuje po predaji i odobrenju Zahtjeva za nadoknadom sredstava.</w:t>
      </w:r>
    </w:p>
    <w:p w14:paraId="5AA80F69" w14:textId="77777777" w:rsidR="006038A4" w:rsidRDefault="00000000">
      <w:r>
        <w:br/>
      </w:r>
    </w:p>
    <w:p w14:paraId="7C641797" w14:textId="77777777" w:rsidR="006038A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3C41A8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EA0401"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A84F7C"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E3FEF"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77F47"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A9D43"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3FDE57" w14:textId="77777777" w:rsidR="006038A4" w:rsidRDefault="00000000">
            <w:pPr>
              <w:keepNext/>
              <w:keepLines/>
              <w:spacing w:after="0" w:line="240" w:lineRule="auto"/>
              <w:jc w:val="center"/>
            </w:pPr>
            <w:r>
              <w:rPr>
                <w:b/>
                <w:sz w:val="18"/>
              </w:rPr>
              <w:t>Indeks (%)</w:t>
            </w:r>
          </w:p>
        </w:tc>
      </w:tr>
      <w:tr w:rsidR="006038A4" w14:paraId="70820262" w14:textId="77777777">
        <w:tblPrEx>
          <w:tblCellMar>
            <w:top w:w="0" w:type="dxa"/>
            <w:bottom w:w="0" w:type="dxa"/>
          </w:tblCellMar>
        </w:tblPrEx>
        <w:trPr>
          <w:cantSplit/>
          <w:trHeight w:val="560"/>
        </w:trPr>
        <w:tc>
          <w:tcPr>
            <w:tcW w:w="700" w:type="dxa"/>
            <w:tcMar>
              <w:top w:w="0" w:type="dxa"/>
              <w:bottom w:w="0" w:type="dxa"/>
            </w:tcMar>
            <w:vAlign w:val="center"/>
          </w:tcPr>
          <w:p w14:paraId="3DFCD5A4" w14:textId="77777777" w:rsidR="006038A4" w:rsidRDefault="00000000">
            <w:pPr>
              <w:keepNext/>
              <w:keepLines/>
              <w:spacing w:after="0" w:line="240" w:lineRule="auto"/>
            </w:pPr>
            <w:r>
              <w:rPr>
                <w:sz w:val="18"/>
              </w:rPr>
              <w:t>6323</w:t>
            </w:r>
          </w:p>
        </w:tc>
        <w:tc>
          <w:tcPr>
            <w:tcW w:w="3180" w:type="dxa"/>
            <w:tcMar>
              <w:top w:w="0" w:type="dxa"/>
              <w:bottom w:w="0" w:type="dxa"/>
            </w:tcMar>
            <w:vAlign w:val="center"/>
          </w:tcPr>
          <w:p w14:paraId="279CC55A" w14:textId="77777777" w:rsidR="006038A4"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444BE031" w14:textId="77777777" w:rsidR="006038A4" w:rsidRDefault="00000000">
            <w:pPr>
              <w:keepNext/>
              <w:keepLines/>
              <w:spacing w:after="0" w:line="240" w:lineRule="auto"/>
            </w:pPr>
            <w:r>
              <w:rPr>
                <w:sz w:val="18"/>
              </w:rPr>
              <w:t>6323</w:t>
            </w:r>
          </w:p>
        </w:tc>
        <w:tc>
          <w:tcPr>
            <w:tcW w:w="1860" w:type="dxa"/>
            <w:tcMar>
              <w:top w:w="0" w:type="dxa"/>
              <w:bottom w:w="0" w:type="dxa"/>
            </w:tcMar>
            <w:vAlign w:val="center"/>
          </w:tcPr>
          <w:p w14:paraId="2DE4911E"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349FF328" w14:textId="77777777" w:rsidR="006038A4" w:rsidRDefault="00000000">
            <w:pPr>
              <w:keepNext/>
              <w:keepLines/>
              <w:spacing w:after="0" w:line="240" w:lineRule="auto"/>
              <w:jc w:val="right"/>
            </w:pPr>
            <w:r>
              <w:rPr>
                <w:sz w:val="18"/>
              </w:rPr>
              <w:t>23.766,07</w:t>
            </w:r>
          </w:p>
        </w:tc>
        <w:tc>
          <w:tcPr>
            <w:tcW w:w="700" w:type="dxa"/>
            <w:tcMar>
              <w:top w:w="0" w:type="dxa"/>
              <w:bottom w:w="0" w:type="dxa"/>
            </w:tcMar>
            <w:vAlign w:val="center"/>
          </w:tcPr>
          <w:p w14:paraId="77401567" w14:textId="77777777" w:rsidR="006038A4" w:rsidRDefault="00000000">
            <w:pPr>
              <w:keepNext/>
              <w:keepLines/>
              <w:spacing w:after="0" w:line="240" w:lineRule="auto"/>
              <w:jc w:val="right"/>
            </w:pPr>
            <w:r>
              <w:rPr>
                <w:sz w:val="18"/>
              </w:rPr>
              <w:t>-</w:t>
            </w:r>
          </w:p>
        </w:tc>
      </w:tr>
    </w:tbl>
    <w:p w14:paraId="46A24E15" w14:textId="77777777" w:rsidR="006038A4" w:rsidRDefault="006038A4">
      <w:pPr>
        <w:spacing w:after="0"/>
      </w:pPr>
    </w:p>
    <w:p w14:paraId="5B9A456F" w14:textId="77777777" w:rsidR="006038A4" w:rsidRDefault="00000000">
      <w:r>
        <w:t>Bilježi se povećanje za uplate temeljem prijenosa EU sredstava za tekuće projekte koji se provode, na temelju podnesenih izvješća za projekt Horizon Climempower i Restoring River Nesting Grounds.</w:t>
      </w:r>
    </w:p>
    <w:p w14:paraId="486689F1" w14:textId="77777777" w:rsidR="006038A4" w:rsidRDefault="006038A4"/>
    <w:p w14:paraId="20C6BB7E" w14:textId="77777777" w:rsidR="006038A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42890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139B8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4354B4"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54720"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656EA"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512301"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B8A897" w14:textId="77777777" w:rsidR="006038A4" w:rsidRDefault="00000000">
            <w:pPr>
              <w:keepNext/>
              <w:keepLines/>
              <w:spacing w:after="0" w:line="240" w:lineRule="auto"/>
              <w:jc w:val="center"/>
            </w:pPr>
            <w:r>
              <w:rPr>
                <w:b/>
                <w:sz w:val="18"/>
              </w:rPr>
              <w:t>Indeks (%)</w:t>
            </w:r>
          </w:p>
        </w:tc>
      </w:tr>
      <w:tr w:rsidR="006038A4" w14:paraId="2C1AD18D" w14:textId="77777777">
        <w:tblPrEx>
          <w:tblCellMar>
            <w:top w:w="0" w:type="dxa"/>
            <w:bottom w:w="0" w:type="dxa"/>
          </w:tblCellMar>
        </w:tblPrEx>
        <w:trPr>
          <w:cantSplit/>
          <w:trHeight w:val="560"/>
        </w:trPr>
        <w:tc>
          <w:tcPr>
            <w:tcW w:w="700" w:type="dxa"/>
            <w:tcMar>
              <w:top w:w="0" w:type="dxa"/>
              <w:bottom w:w="0" w:type="dxa"/>
            </w:tcMar>
            <w:vAlign w:val="center"/>
          </w:tcPr>
          <w:p w14:paraId="23472006" w14:textId="77777777" w:rsidR="006038A4" w:rsidRDefault="00000000">
            <w:pPr>
              <w:keepNext/>
              <w:keepLines/>
              <w:spacing w:after="0" w:line="240" w:lineRule="auto"/>
            </w:pPr>
            <w:r>
              <w:rPr>
                <w:sz w:val="18"/>
              </w:rPr>
              <w:t>6341</w:t>
            </w:r>
          </w:p>
        </w:tc>
        <w:tc>
          <w:tcPr>
            <w:tcW w:w="3180" w:type="dxa"/>
            <w:tcMar>
              <w:top w:w="0" w:type="dxa"/>
              <w:bottom w:w="0" w:type="dxa"/>
            </w:tcMar>
            <w:vAlign w:val="center"/>
          </w:tcPr>
          <w:p w14:paraId="7AA45813" w14:textId="77777777" w:rsidR="006038A4"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DD3BF33" w14:textId="77777777" w:rsidR="006038A4" w:rsidRDefault="00000000">
            <w:pPr>
              <w:keepNext/>
              <w:keepLines/>
              <w:spacing w:after="0" w:line="240" w:lineRule="auto"/>
            </w:pPr>
            <w:r>
              <w:rPr>
                <w:sz w:val="18"/>
              </w:rPr>
              <w:t>6341</w:t>
            </w:r>
          </w:p>
        </w:tc>
        <w:tc>
          <w:tcPr>
            <w:tcW w:w="1860" w:type="dxa"/>
            <w:tcMar>
              <w:top w:w="0" w:type="dxa"/>
              <w:bottom w:w="0" w:type="dxa"/>
            </w:tcMar>
            <w:vAlign w:val="center"/>
          </w:tcPr>
          <w:p w14:paraId="0F5AC965" w14:textId="77777777" w:rsidR="006038A4" w:rsidRDefault="00000000">
            <w:pPr>
              <w:keepNext/>
              <w:keepLines/>
              <w:spacing w:after="0" w:line="240" w:lineRule="auto"/>
              <w:jc w:val="right"/>
            </w:pPr>
            <w:r>
              <w:rPr>
                <w:sz w:val="18"/>
              </w:rPr>
              <w:t>22.643,41</w:t>
            </w:r>
          </w:p>
        </w:tc>
        <w:tc>
          <w:tcPr>
            <w:tcW w:w="1860" w:type="dxa"/>
            <w:tcMar>
              <w:top w:w="0" w:type="dxa"/>
              <w:bottom w:w="0" w:type="dxa"/>
            </w:tcMar>
            <w:vAlign w:val="center"/>
          </w:tcPr>
          <w:p w14:paraId="28ECCE35" w14:textId="77777777" w:rsidR="006038A4" w:rsidRDefault="00000000">
            <w:pPr>
              <w:keepNext/>
              <w:keepLines/>
              <w:spacing w:after="0" w:line="240" w:lineRule="auto"/>
              <w:jc w:val="right"/>
            </w:pPr>
            <w:r>
              <w:rPr>
                <w:sz w:val="18"/>
              </w:rPr>
              <w:t>130.697,50</w:t>
            </w:r>
          </w:p>
        </w:tc>
        <w:tc>
          <w:tcPr>
            <w:tcW w:w="700" w:type="dxa"/>
            <w:tcMar>
              <w:top w:w="0" w:type="dxa"/>
              <w:bottom w:w="0" w:type="dxa"/>
            </w:tcMar>
            <w:vAlign w:val="center"/>
          </w:tcPr>
          <w:p w14:paraId="1FAF88AB" w14:textId="77777777" w:rsidR="006038A4" w:rsidRDefault="00000000">
            <w:pPr>
              <w:keepNext/>
              <w:keepLines/>
              <w:spacing w:after="0" w:line="240" w:lineRule="auto"/>
              <w:jc w:val="right"/>
            </w:pPr>
            <w:r>
              <w:rPr>
                <w:sz w:val="18"/>
              </w:rPr>
              <w:t>577,2</w:t>
            </w:r>
          </w:p>
        </w:tc>
      </w:tr>
    </w:tbl>
    <w:p w14:paraId="1BE5E85D" w14:textId="77777777" w:rsidR="006038A4" w:rsidRDefault="006038A4">
      <w:pPr>
        <w:spacing w:after="0"/>
      </w:pPr>
    </w:p>
    <w:p w14:paraId="5E0FFEF7" w14:textId="77777777" w:rsidR="006038A4" w:rsidRDefault="00000000">
      <w:r>
        <w:t>Bilježi se znatno povećanje u odnosu na isto razdoblje prethodne godine, za projekt Uređenje posebnog ornitološkog rezervata Podpanj, rashodi kao i prihodi ostvareni su istom izvještajnom razdoblju.</w:t>
      </w:r>
    </w:p>
    <w:p w14:paraId="26B53900" w14:textId="77777777" w:rsidR="006038A4" w:rsidRDefault="006038A4"/>
    <w:p w14:paraId="115884BA" w14:textId="77777777" w:rsidR="006038A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5116C7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E8913D"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18977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6B26C"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7DA7C"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75AD9F"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2A026" w14:textId="77777777" w:rsidR="006038A4" w:rsidRDefault="00000000">
            <w:pPr>
              <w:keepNext/>
              <w:keepLines/>
              <w:spacing w:after="0" w:line="240" w:lineRule="auto"/>
              <w:jc w:val="center"/>
            </w:pPr>
            <w:r>
              <w:rPr>
                <w:b/>
                <w:sz w:val="18"/>
              </w:rPr>
              <w:t>Indeks (%)</w:t>
            </w:r>
          </w:p>
        </w:tc>
      </w:tr>
      <w:tr w:rsidR="006038A4" w14:paraId="58AC4BB4" w14:textId="77777777">
        <w:tblPrEx>
          <w:tblCellMar>
            <w:top w:w="0" w:type="dxa"/>
            <w:bottom w:w="0" w:type="dxa"/>
          </w:tblCellMar>
        </w:tblPrEx>
        <w:trPr>
          <w:cantSplit/>
          <w:trHeight w:val="560"/>
        </w:trPr>
        <w:tc>
          <w:tcPr>
            <w:tcW w:w="700" w:type="dxa"/>
            <w:tcMar>
              <w:top w:w="0" w:type="dxa"/>
              <w:bottom w:w="0" w:type="dxa"/>
            </w:tcMar>
            <w:vAlign w:val="center"/>
          </w:tcPr>
          <w:p w14:paraId="71F0FA80" w14:textId="77777777" w:rsidR="006038A4" w:rsidRDefault="00000000">
            <w:pPr>
              <w:keepNext/>
              <w:keepLines/>
              <w:spacing w:after="0" w:line="240" w:lineRule="auto"/>
            </w:pPr>
            <w:r>
              <w:rPr>
                <w:sz w:val="18"/>
              </w:rPr>
              <w:t>6361</w:t>
            </w:r>
          </w:p>
        </w:tc>
        <w:tc>
          <w:tcPr>
            <w:tcW w:w="3180" w:type="dxa"/>
            <w:tcMar>
              <w:top w:w="0" w:type="dxa"/>
              <w:bottom w:w="0" w:type="dxa"/>
            </w:tcMar>
            <w:vAlign w:val="center"/>
          </w:tcPr>
          <w:p w14:paraId="44C701C0" w14:textId="77777777" w:rsidR="006038A4"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19B0954" w14:textId="77777777" w:rsidR="006038A4" w:rsidRDefault="00000000">
            <w:pPr>
              <w:keepNext/>
              <w:keepLines/>
              <w:spacing w:after="0" w:line="240" w:lineRule="auto"/>
            </w:pPr>
            <w:r>
              <w:rPr>
                <w:sz w:val="18"/>
              </w:rPr>
              <w:t>6361</w:t>
            </w:r>
          </w:p>
        </w:tc>
        <w:tc>
          <w:tcPr>
            <w:tcW w:w="1860" w:type="dxa"/>
            <w:tcMar>
              <w:top w:w="0" w:type="dxa"/>
              <w:bottom w:w="0" w:type="dxa"/>
            </w:tcMar>
            <w:vAlign w:val="center"/>
          </w:tcPr>
          <w:p w14:paraId="53C1A88B" w14:textId="77777777" w:rsidR="006038A4" w:rsidRDefault="00000000">
            <w:pPr>
              <w:keepNext/>
              <w:keepLines/>
              <w:spacing w:after="0" w:line="240" w:lineRule="auto"/>
              <w:jc w:val="right"/>
            </w:pPr>
            <w:r>
              <w:rPr>
                <w:sz w:val="18"/>
              </w:rPr>
              <w:t>7.170,24</w:t>
            </w:r>
          </w:p>
        </w:tc>
        <w:tc>
          <w:tcPr>
            <w:tcW w:w="1860" w:type="dxa"/>
            <w:tcMar>
              <w:top w:w="0" w:type="dxa"/>
              <w:bottom w:w="0" w:type="dxa"/>
            </w:tcMar>
            <w:vAlign w:val="center"/>
          </w:tcPr>
          <w:p w14:paraId="476BABD8" w14:textId="77777777" w:rsidR="006038A4" w:rsidRDefault="00000000">
            <w:pPr>
              <w:keepNext/>
              <w:keepLines/>
              <w:spacing w:after="0" w:line="240" w:lineRule="auto"/>
              <w:jc w:val="right"/>
            </w:pPr>
            <w:r>
              <w:rPr>
                <w:sz w:val="18"/>
              </w:rPr>
              <w:t>840,32</w:t>
            </w:r>
          </w:p>
        </w:tc>
        <w:tc>
          <w:tcPr>
            <w:tcW w:w="700" w:type="dxa"/>
            <w:tcMar>
              <w:top w:w="0" w:type="dxa"/>
              <w:bottom w:w="0" w:type="dxa"/>
            </w:tcMar>
            <w:vAlign w:val="center"/>
          </w:tcPr>
          <w:p w14:paraId="08AC6506" w14:textId="77777777" w:rsidR="006038A4" w:rsidRDefault="00000000">
            <w:pPr>
              <w:keepNext/>
              <w:keepLines/>
              <w:spacing w:after="0" w:line="240" w:lineRule="auto"/>
              <w:jc w:val="right"/>
            </w:pPr>
            <w:r>
              <w:rPr>
                <w:sz w:val="18"/>
              </w:rPr>
              <w:t>11,7</w:t>
            </w:r>
          </w:p>
        </w:tc>
      </w:tr>
    </w:tbl>
    <w:p w14:paraId="64E11EE4" w14:textId="77777777" w:rsidR="006038A4" w:rsidRDefault="006038A4">
      <w:pPr>
        <w:spacing w:after="0"/>
      </w:pPr>
    </w:p>
    <w:p w14:paraId="2B6AFD40" w14:textId="77777777" w:rsidR="006038A4" w:rsidRDefault="00000000">
      <w:r>
        <w:t>Bilježi se smanjenje u odnosu na prethodno razdoblje zbog završenih aktivnosti.</w:t>
      </w:r>
    </w:p>
    <w:p w14:paraId="428253B8" w14:textId="77777777" w:rsidR="006038A4" w:rsidRDefault="006038A4"/>
    <w:p w14:paraId="1CD2A106" w14:textId="77777777" w:rsidR="006038A4"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422F88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781B3A"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B954D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F79A1D"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00940"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FB75D"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BA3FD4" w14:textId="77777777" w:rsidR="006038A4" w:rsidRDefault="00000000">
            <w:pPr>
              <w:keepNext/>
              <w:keepLines/>
              <w:spacing w:after="0" w:line="240" w:lineRule="auto"/>
              <w:jc w:val="center"/>
            </w:pPr>
            <w:r>
              <w:rPr>
                <w:b/>
                <w:sz w:val="18"/>
              </w:rPr>
              <w:t>Indeks (%)</w:t>
            </w:r>
          </w:p>
        </w:tc>
      </w:tr>
      <w:tr w:rsidR="006038A4" w14:paraId="477D79FD" w14:textId="77777777">
        <w:tblPrEx>
          <w:tblCellMar>
            <w:top w:w="0" w:type="dxa"/>
            <w:bottom w:w="0" w:type="dxa"/>
          </w:tblCellMar>
        </w:tblPrEx>
        <w:trPr>
          <w:cantSplit/>
          <w:trHeight w:val="560"/>
        </w:trPr>
        <w:tc>
          <w:tcPr>
            <w:tcW w:w="700" w:type="dxa"/>
            <w:tcMar>
              <w:top w:w="0" w:type="dxa"/>
              <w:bottom w:w="0" w:type="dxa"/>
            </w:tcMar>
            <w:vAlign w:val="center"/>
          </w:tcPr>
          <w:p w14:paraId="3484157F" w14:textId="77777777" w:rsidR="006038A4" w:rsidRDefault="00000000">
            <w:pPr>
              <w:keepNext/>
              <w:keepLines/>
              <w:spacing w:after="0" w:line="240" w:lineRule="auto"/>
            </w:pPr>
            <w:r>
              <w:rPr>
                <w:sz w:val="18"/>
              </w:rPr>
              <w:t>6526</w:t>
            </w:r>
          </w:p>
        </w:tc>
        <w:tc>
          <w:tcPr>
            <w:tcW w:w="3180" w:type="dxa"/>
            <w:tcMar>
              <w:top w:w="0" w:type="dxa"/>
              <w:bottom w:w="0" w:type="dxa"/>
            </w:tcMar>
            <w:vAlign w:val="center"/>
          </w:tcPr>
          <w:p w14:paraId="4A3985BF" w14:textId="77777777" w:rsidR="006038A4"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BCCDDB6" w14:textId="77777777" w:rsidR="006038A4" w:rsidRDefault="00000000">
            <w:pPr>
              <w:keepNext/>
              <w:keepLines/>
              <w:spacing w:after="0" w:line="240" w:lineRule="auto"/>
            </w:pPr>
            <w:r>
              <w:rPr>
                <w:sz w:val="18"/>
              </w:rPr>
              <w:t>6526</w:t>
            </w:r>
          </w:p>
        </w:tc>
        <w:tc>
          <w:tcPr>
            <w:tcW w:w="1860" w:type="dxa"/>
            <w:tcMar>
              <w:top w:w="0" w:type="dxa"/>
              <w:bottom w:w="0" w:type="dxa"/>
            </w:tcMar>
            <w:vAlign w:val="center"/>
          </w:tcPr>
          <w:p w14:paraId="1D62431F" w14:textId="77777777" w:rsidR="006038A4" w:rsidRDefault="00000000">
            <w:pPr>
              <w:keepNext/>
              <w:keepLines/>
              <w:spacing w:after="0" w:line="240" w:lineRule="auto"/>
              <w:jc w:val="right"/>
            </w:pPr>
            <w:r>
              <w:rPr>
                <w:sz w:val="18"/>
              </w:rPr>
              <w:t>3.653,07</w:t>
            </w:r>
          </w:p>
        </w:tc>
        <w:tc>
          <w:tcPr>
            <w:tcW w:w="1860" w:type="dxa"/>
            <w:tcMar>
              <w:top w:w="0" w:type="dxa"/>
              <w:bottom w:w="0" w:type="dxa"/>
            </w:tcMar>
            <w:vAlign w:val="center"/>
          </w:tcPr>
          <w:p w14:paraId="5DB5B1FC" w14:textId="77777777" w:rsidR="006038A4" w:rsidRDefault="00000000">
            <w:pPr>
              <w:keepNext/>
              <w:keepLines/>
              <w:spacing w:after="0" w:line="240" w:lineRule="auto"/>
              <w:jc w:val="right"/>
            </w:pPr>
            <w:r>
              <w:rPr>
                <w:sz w:val="18"/>
              </w:rPr>
              <w:t>551,61</w:t>
            </w:r>
          </w:p>
        </w:tc>
        <w:tc>
          <w:tcPr>
            <w:tcW w:w="700" w:type="dxa"/>
            <w:tcMar>
              <w:top w:w="0" w:type="dxa"/>
              <w:bottom w:w="0" w:type="dxa"/>
            </w:tcMar>
            <w:vAlign w:val="center"/>
          </w:tcPr>
          <w:p w14:paraId="1E79F374" w14:textId="77777777" w:rsidR="006038A4" w:rsidRDefault="00000000">
            <w:pPr>
              <w:keepNext/>
              <w:keepLines/>
              <w:spacing w:after="0" w:line="240" w:lineRule="auto"/>
              <w:jc w:val="right"/>
            </w:pPr>
            <w:r>
              <w:rPr>
                <w:sz w:val="18"/>
              </w:rPr>
              <w:t>15,1</w:t>
            </w:r>
          </w:p>
        </w:tc>
      </w:tr>
    </w:tbl>
    <w:p w14:paraId="33BDB860" w14:textId="77777777" w:rsidR="006038A4" w:rsidRDefault="006038A4">
      <w:pPr>
        <w:spacing w:after="0"/>
      </w:pPr>
    </w:p>
    <w:p w14:paraId="10571012" w14:textId="77777777" w:rsidR="006038A4" w:rsidRDefault="00000000">
      <w:r>
        <w:t>Bilježi se smanjenje u odnosu na isto razdoblje prethodne godine, prihod se odnosi na prihode na osnovi osiguranja, refundacija štete na vozilu.</w:t>
      </w:r>
    </w:p>
    <w:p w14:paraId="77104A2B" w14:textId="77777777" w:rsidR="006038A4" w:rsidRDefault="006038A4"/>
    <w:p w14:paraId="46FA4656" w14:textId="77777777" w:rsidR="006038A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9B5BF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92EA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309019"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4BC1D"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184BE"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CE5DF2"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6B61F" w14:textId="77777777" w:rsidR="006038A4" w:rsidRDefault="00000000">
            <w:pPr>
              <w:keepNext/>
              <w:keepLines/>
              <w:spacing w:after="0" w:line="240" w:lineRule="auto"/>
              <w:jc w:val="center"/>
            </w:pPr>
            <w:r>
              <w:rPr>
                <w:b/>
                <w:sz w:val="18"/>
              </w:rPr>
              <w:t>Indeks (%)</w:t>
            </w:r>
          </w:p>
        </w:tc>
      </w:tr>
      <w:tr w:rsidR="006038A4" w14:paraId="363CBCF3" w14:textId="77777777">
        <w:tblPrEx>
          <w:tblCellMar>
            <w:top w:w="0" w:type="dxa"/>
            <w:bottom w:w="0" w:type="dxa"/>
          </w:tblCellMar>
        </w:tblPrEx>
        <w:trPr>
          <w:cantSplit/>
          <w:trHeight w:val="560"/>
        </w:trPr>
        <w:tc>
          <w:tcPr>
            <w:tcW w:w="700" w:type="dxa"/>
            <w:tcMar>
              <w:top w:w="0" w:type="dxa"/>
              <w:bottom w:w="0" w:type="dxa"/>
            </w:tcMar>
            <w:vAlign w:val="center"/>
          </w:tcPr>
          <w:p w14:paraId="1C88C472" w14:textId="77777777" w:rsidR="006038A4" w:rsidRDefault="00000000">
            <w:pPr>
              <w:keepNext/>
              <w:keepLines/>
              <w:spacing w:after="0" w:line="240" w:lineRule="auto"/>
            </w:pPr>
            <w:r>
              <w:rPr>
                <w:sz w:val="18"/>
              </w:rPr>
              <w:t>67</w:t>
            </w:r>
          </w:p>
        </w:tc>
        <w:tc>
          <w:tcPr>
            <w:tcW w:w="3180" w:type="dxa"/>
            <w:tcMar>
              <w:top w:w="0" w:type="dxa"/>
              <w:bottom w:w="0" w:type="dxa"/>
            </w:tcMar>
            <w:vAlign w:val="center"/>
          </w:tcPr>
          <w:p w14:paraId="45E511A5" w14:textId="77777777" w:rsidR="006038A4"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FE2C4AC" w14:textId="77777777" w:rsidR="006038A4" w:rsidRDefault="00000000">
            <w:pPr>
              <w:keepNext/>
              <w:keepLines/>
              <w:spacing w:after="0" w:line="240" w:lineRule="auto"/>
            </w:pPr>
            <w:r>
              <w:rPr>
                <w:sz w:val="18"/>
              </w:rPr>
              <w:t>67</w:t>
            </w:r>
          </w:p>
        </w:tc>
        <w:tc>
          <w:tcPr>
            <w:tcW w:w="1860" w:type="dxa"/>
            <w:tcMar>
              <w:top w:w="0" w:type="dxa"/>
              <w:bottom w:w="0" w:type="dxa"/>
            </w:tcMar>
            <w:vAlign w:val="center"/>
          </w:tcPr>
          <w:p w14:paraId="39A0039B" w14:textId="77777777" w:rsidR="006038A4" w:rsidRDefault="00000000">
            <w:pPr>
              <w:keepNext/>
              <w:keepLines/>
              <w:spacing w:after="0" w:line="240" w:lineRule="auto"/>
              <w:jc w:val="right"/>
            </w:pPr>
            <w:r>
              <w:rPr>
                <w:sz w:val="18"/>
              </w:rPr>
              <w:t>397.339,43</w:t>
            </w:r>
          </w:p>
        </w:tc>
        <w:tc>
          <w:tcPr>
            <w:tcW w:w="1860" w:type="dxa"/>
            <w:tcMar>
              <w:top w:w="0" w:type="dxa"/>
              <w:bottom w:w="0" w:type="dxa"/>
            </w:tcMar>
            <w:vAlign w:val="center"/>
          </w:tcPr>
          <w:p w14:paraId="4AB7145E" w14:textId="77777777" w:rsidR="006038A4" w:rsidRDefault="00000000">
            <w:pPr>
              <w:keepNext/>
              <w:keepLines/>
              <w:spacing w:after="0" w:line="240" w:lineRule="auto"/>
              <w:jc w:val="right"/>
            </w:pPr>
            <w:r>
              <w:rPr>
                <w:sz w:val="18"/>
              </w:rPr>
              <w:t>428.046,01</w:t>
            </w:r>
          </w:p>
        </w:tc>
        <w:tc>
          <w:tcPr>
            <w:tcW w:w="700" w:type="dxa"/>
            <w:tcMar>
              <w:top w:w="0" w:type="dxa"/>
              <w:bottom w:w="0" w:type="dxa"/>
            </w:tcMar>
            <w:vAlign w:val="center"/>
          </w:tcPr>
          <w:p w14:paraId="6C9549CA" w14:textId="77777777" w:rsidR="006038A4" w:rsidRDefault="00000000">
            <w:pPr>
              <w:keepNext/>
              <w:keepLines/>
              <w:spacing w:after="0" w:line="240" w:lineRule="auto"/>
              <w:jc w:val="right"/>
            </w:pPr>
            <w:r>
              <w:rPr>
                <w:sz w:val="18"/>
              </w:rPr>
              <w:t>107,7</w:t>
            </w:r>
          </w:p>
        </w:tc>
      </w:tr>
    </w:tbl>
    <w:p w14:paraId="532985C7" w14:textId="77777777" w:rsidR="006038A4" w:rsidRDefault="006038A4">
      <w:pPr>
        <w:spacing w:after="0"/>
      </w:pPr>
    </w:p>
    <w:p w14:paraId="7AFDF26A" w14:textId="77777777" w:rsidR="006038A4" w:rsidRDefault="00000000">
      <w:r>
        <w:t>Prihodi za financiranje rashoda veći su u odnosu na isto razdoblje prethodne godine, bilježi se povećanje zbog podmirenih troškova za izrađene Planove upravljanja "Perivoj kralja Tomislava u Osijeku" i  "Park kralja Petra Krešimira u Osijeku". Osim intelektualnih usluga bilježi se povećanje i na rashodima za zaposlene za troškove plaće i ostala materijalna prava.</w:t>
      </w:r>
    </w:p>
    <w:p w14:paraId="7B49C584" w14:textId="77777777" w:rsidR="006038A4" w:rsidRDefault="006038A4"/>
    <w:p w14:paraId="582B4047" w14:textId="77777777" w:rsidR="006038A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4C533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DD038"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39A173"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39FF3"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4C320C"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28F178"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C44CDA" w14:textId="77777777" w:rsidR="006038A4" w:rsidRDefault="00000000">
            <w:pPr>
              <w:keepNext/>
              <w:keepLines/>
              <w:spacing w:after="0" w:line="240" w:lineRule="auto"/>
              <w:jc w:val="center"/>
            </w:pPr>
            <w:r>
              <w:rPr>
                <w:b/>
                <w:sz w:val="18"/>
              </w:rPr>
              <w:t>Indeks (%)</w:t>
            </w:r>
          </w:p>
        </w:tc>
      </w:tr>
      <w:tr w:rsidR="006038A4" w14:paraId="18AECE76" w14:textId="77777777">
        <w:tblPrEx>
          <w:tblCellMar>
            <w:top w:w="0" w:type="dxa"/>
            <w:bottom w:w="0" w:type="dxa"/>
          </w:tblCellMar>
        </w:tblPrEx>
        <w:trPr>
          <w:cantSplit/>
          <w:trHeight w:val="560"/>
        </w:trPr>
        <w:tc>
          <w:tcPr>
            <w:tcW w:w="700" w:type="dxa"/>
            <w:tcMar>
              <w:top w:w="0" w:type="dxa"/>
              <w:bottom w:w="0" w:type="dxa"/>
            </w:tcMar>
            <w:vAlign w:val="center"/>
          </w:tcPr>
          <w:p w14:paraId="6C4BA883" w14:textId="77777777" w:rsidR="006038A4" w:rsidRDefault="00000000">
            <w:pPr>
              <w:keepNext/>
              <w:keepLines/>
              <w:spacing w:after="0" w:line="240" w:lineRule="auto"/>
            </w:pPr>
            <w:r>
              <w:rPr>
                <w:sz w:val="18"/>
              </w:rPr>
              <w:t>6712</w:t>
            </w:r>
          </w:p>
        </w:tc>
        <w:tc>
          <w:tcPr>
            <w:tcW w:w="3180" w:type="dxa"/>
            <w:tcMar>
              <w:top w:w="0" w:type="dxa"/>
              <w:bottom w:w="0" w:type="dxa"/>
            </w:tcMar>
            <w:vAlign w:val="center"/>
          </w:tcPr>
          <w:p w14:paraId="2D8CA55F" w14:textId="77777777" w:rsidR="006038A4"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7B10A0D" w14:textId="77777777" w:rsidR="006038A4" w:rsidRDefault="00000000">
            <w:pPr>
              <w:keepNext/>
              <w:keepLines/>
              <w:spacing w:after="0" w:line="240" w:lineRule="auto"/>
            </w:pPr>
            <w:r>
              <w:rPr>
                <w:sz w:val="18"/>
              </w:rPr>
              <w:t>6712</w:t>
            </w:r>
          </w:p>
        </w:tc>
        <w:tc>
          <w:tcPr>
            <w:tcW w:w="1860" w:type="dxa"/>
            <w:tcMar>
              <w:top w:w="0" w:type="dxa"/>
              <w:bottom w:w="0" w:type="dxa"/>
            </w:tcMar>
            <w:vAlign w:val="center"/>
          </w:tcPr>
          <w:p w14:paraId="2DDB54B6" w14:textId="77777777" w:rsidR="006038A4" w:rsidRDefault="00000000">
            <w:pPr>
              <w:keepNext/>
              <w:keepLines/>
              <w:spacing w:after="0" w:line="240" w:lineRule="auto"/>
              <w:jc w:val="right"/>
            </w:pPr>
            <w:r>
              <w:rPr>
                <w:sz w:val="18"/>
              </w:rPr>
              <w:t>3.011,79</w:t>
            </w:r>
          </w:p>
        </w:tc>
        <w:tc>
          <w:tcPr>
            <w:tcW w:w="1860" w:type="dxa"/>
            <w:tcMar>
              <w:top w:w="0" w:type="dxa"/>
              <w:bottom w:w="0" w:type="dxa"/>
            </w:tcMar>
            <w:vAlign w:val="center"/>
          </w:tcPr>
          <w:p w14:paraId="524DA89A" w14:textId="77777777" w:rsidR="006038A4" w:rsidRDefault="00000000">
            <w:pPr>
              <w:keepNext/>
              <w:keepLines/>
              <w:spacing w:after="0" w:line="240" w:lineRule="auto"/>
              <w:jc w:val="right"/>
            </w:pPr>
            <w:r>
              <w:rPr>
                <w:sz w:val="18"/>
              </w:rPr>
              <w:t>0,14</w:t>
            </w:r>
          </w:p>
        </w:tc>
        <w:tc>
          <w:tcPr>
            <w:tcW w:w="700" w:type="dxa"/>
            <w:tcMar>
              <w:top w:w="0" w:type="dxa"/>
              <w:bottom w:w="0" w:type="dxa"/>
            </w:tcMar>
            <w:vAlign w:val="center"/>
          </w:tcPr>
          <w:p w14:paraId="0849F7A9" w14:textId="77777777" w:rsidR="006038A4" w:rsidRDefault="00000000">
            <w:pPr>
              <w:keepNext/>
              <w:keepLines/>
              <w:spacing w:after="0" w:line="240" w:lineRule="auto"/>
              <w:jc w:val="right"/>
            </w:pPr>
            <w:r>
              <w:rPr>
                <w:sz w:val="18"/>
              </w:rPr>
              <w:t>0,0</w:t>
            </w:r>
          </w:p>
        </w:tc>
      </w:tr>
    </w:tbl>
    <w:p w14:paraId="053343F6" w14:textId="77777777" w:rsidR="006038A4" w:rsidRDefault="006038A4">
      <w:pPr>
        <w:spacing w:after="0"/>
      </w:pPr>
    </w:p>
    <w:p w14:paraId="1AC2E599" w14:textId="77777777" w:rsidR="006038A4" w:rsidRDefault="00000000">
      <w:r>
        <w:t>U 2025. godini nabavljen je novi službeni mobitel marke Honor 400 Lite 256  GB  5G CRNI.</w:t>
      </w:r>
    </w:p>
    <w:p w14:paraId="41EEDF05" w14:textId="77777777" w:rsidR="006038A4" w:rsidRDefault="006038A4"/>
    <w:p w14:paraId="03EEA4C0" w14:textId="77777777" w:rsidR="006038A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3C18AA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331CBC"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E240F9"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E360DB"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78793"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E90052"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BE358A" w14:textId="77777777" w:rsidR="006038A4" w:rsidRDefault="00000000">
            <w:pPr>
              <w:keepNext/>
              <w:keepLines/>
              <w:spacing w:after="0" w:line="240" w:lineRule="auto"/>
              <w:jc w:val="center"/>
            </w:pPr>
            <w:r>
              <w:rPr>
                <w:b/>
                <w:sz w:val="18"/>
              </w:rPr>
              <w:t>Indeks (%)</w:t>
            </w:r>
          </w:p>
        </w:tc>
      </w:tr>
      <w:tr w:rsidR="006038A4" w14:paraId="14628E5D" w14:textId="77777777">
        <w:tblPrEx>
          <w:tblCellMar>
            <w:top w:w="0" w:type="dxa"/>
            <w:bottom w:w="0" w:type="dxa"/>
          </w:tblCellMar>
        </w:tblPrEx>
        <w:trPr>
          <w:cantSplit/>
          <w:trHeight w:val="560"/>
        </w:trPr>
        <w:tc>
          <w:tcPr>
            <w:tcW w:w="700" w:type="dxa"/>
            <w:tcMar>
              <w:top w:w="0" w:type="dxa"/>
              <w:bottom w:w="0" w:type="dxa"/>
            </w:tcMar>
            <w:vAlign w:val="center"/>
          </w:tcPr>
          <w:p w14:paraId="19483F28" w14:textId="77777777" w:rsidR="006038A4" w:rsidRDefault="00000000">
            <w:pPr>
              <w:keepNext/>
              <w:keepLines/>
              <w:spacing w:after="0" w:line="240" w:lineRule="auto"/>
            </w:pPr>
            <w:r>
              <w:rPr>
                <w:sz w:val="18"/>
              </w:rPr>
              <w:t>3211</w:t>
            </w:r>
          </w:p>
        </w:tc>
        <w:tc>
          <w:tcPr>
            <w:tcW w:w="3180" w:type="dxa"/>
            <w:tcMar>
              <w:top w:w="0" w:type="dxa"/>
              <w:bottom w:w="0" w:type="dxa"/>
            </w:tcMar>
            <w:vAlign w:val="center"/>
          </w:tcPr>
          <w:p w14:paraId="03AB9636" w14:textId="77777777" w:rsidR="006038A4" w:rsidRDefault="00000000">
            <w:pPr>
              <w:keepNext/>
              <w:keepLines/>
              <w:spacing w:after="0" w:line="240" w:lineRule="auto"/>
            </w:pPr>
            <w:r>
              <w:rPr>
                <w:sz w:val="18"/>
              </w:rPr>
              <w:t>Službena putovanja</w:t>
            </w:r>
          </w:p>
        </w:tc>
        <w:tc>
          <w:tcPr>
            <w:tcW w:w="700" w:type="dxa"/>
            <w:tcMar>
              <w:top w:w="0" w:type="dxa"/>
              <w:bottom w:w="0" w:type="dxa"/>
            </w:tcMar>
            <w:vAlign w:val="center"/>
          </w:tcPr>
          <w:p w14:paraId="68AE3D54" w14:textId="77777777" w:rsidR="006038A4" w:rsidRDefault="00000000">
            <w:pPr>
              <w:keepNext/>
              <w:keepLines/>
              <w:spacing w:after="0" w:line="240" w:lineRule="auto"/>
            </w:pPr>
            <w:r>
              <w:rPr>
                <w:sz w:val="18"/>
              </w:rPr>
              <w:t>3211</w:t>
            </w:r>
          </w:p>
        </w:tc>
        <w:tc>
          <w:tcPr>
            <w:tcW w:w="1860" w:type="dxa"/>
            <w:tcMar>
              <w:top w:w="0" w:type="dxa"/>
              <w:bottom w:w="0" w:type="dxa"/>
            </w:tcMar>
            <w:vAlign w:val="center"/>
          </w:tcPr>
          <w:p w14:paraId="7F73A3B1" w14:textId="77777777" w:rsidR="006038A4" w:rsidRDefault="00000000">
            <w:pPr>
              <w:keepNext/>
              <w:keepLines/>
              <w:spacing w:after="0" w:line="240" w:lineRule="auto"/>
              <w:jc w:val="right"/>
            </w:pPr>
            <w:r>
              <w:rPr>
                <w:sz w:val="18"/>
              </w:rPr>
              <w:t>2.325,80</w:t>
            </w:r>
          </w:p>
        </w:tc>
        <w:tc>
          <w:tcPr>
            <w:tcW w:w="1860" w:type="dxa"/>
            <w:tcMar>
              <w:top w:w="0" w:type="dxa"/>
              <w:bottom w:w="0" w:type="dxa"/>
            </w:tcMar>
            <w:vAlign w:val="center"/>
          </w:tcPr>
          <w:p w14:paraId="125BB7E3" w14:textId="77777777" w:rsidR="006038A4" w:rsidRDefault="00000000">
            <w:pPr>
              <w:keepNext/>
              <w:keepLines/>
              <w:spacing w:after="0" w:line="240" w:lineRule="auto"/>
              <w:jc w:val="right"/>
            </w:pPr>
            <w:r>
              <w:rPr>
                <w:sz w:val="18"/>
              </w:rPr>
              <w:t>5.002,11</w:t>
            </w:r>
          </w:p>
        </w:tc>
        <w:tc>
          <w:tcPr>
            <w:tcW w:w="700" w:type="dxa"/>
            <w:tcMar>
              <w:top w:w="0" w:type="dxa"/>
              <w:bottom w:w="0" w:type="dxa"/>
            </w:tcMar>
            <w:vAlign w:val="center"/>
          </w:tcPr>
          <w:p w14:paraId="63AA393C" w14:textId="77777777" w:rsidR="006038A4" w:rsidRDefault="00000000">
            <w:pPr>
              <w:keepNext/>
              <w:keepLines/>
              <w:spacing w:after="0" w:line="240" w:lineRule="auto"/>
              <w:jc w:val="right"/>
            </w:pPr>
            <w:r>
              <w:rPr>
                <w:sz w:val="18"/>
              </w:rPr>
              <w:t>215,1</w:t>
            </w:r>
          </w:p>
        </w:tc>
      </w:tr>
    </w:tbl>
    <w:p w14:paraId="23FC37EA" w14:textId="77777777" w:rsidR="006038A4" w:rsidRDefault="006038A4">
      <w:pPr>
        <w:spacing w:after="0"/>
      </w:pPr>
    </w:p>
    <w:p w14:paraId="1DF9D358" w14:textId="77777777" w:rsidR="006038A4" w:rsidRDefault="00000000">
      <w:r>
        <w:t>Troškovi za službena putovanja su povećani u odnosu na isto razdoblje prethodne godine zbog većeg broja konferencija koje se održavaju u sklopu projekta Horizon Climempower, te se radi o inozemnim putovanjima.</w:t>
      </w:r>
    </w:p>
    <w:p w14:paraId="142D8773" w14:textId="77777777" w:rsidR="006038A4" w:rsidRDefault="006038A4"/>
    <w:p w14:paraId="31B20E43" w14:textId="77777777" w:rsidR="006038A4"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C9D1E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D9DEC2"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4377B7"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548D03"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26449"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BE2734"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F2B1D5" w14:textId="77777777" w:rsidR="006038A4" w:rsidRDefault="00000000">
            <w:pPr>
              <w:keepNext/>
              <w:keepLines/>
              <w:spacing w:after="0" w:line="240" w:lineRule="auto"/>
              <w:jc w:val="center"/>
            </w:pPr>
            <w:r>
              <w:rPr>
                <w:b/>
                <w:sz w:val="18"/>
              </w:rPr>
              <w:t>Indeks (%)</w:t>
            </w:r>
          </w:p>
        </w:tc>
      </w:tr>
      <w:tr w:rsidR="006038A4" w14:paraId="793E07B1" w14:textId="77777777">
        <w:tblPrEx>
          <w:tblCellMar>
            <w:top w:w="0" w:type="dxa"/>
            <w:bottom w:w="0" w:type="dxa"/>
          </w:tblCellMar>
        </w:tblPrEx>
        <w:trPr>
          <w:cantSplit/>
          <w:trHeight w:val="560"/>
        </w:trPr>
        <w:tc>
          <w:tcPr>
            <w:tcW w:w="700" w:type="dxa"/>
            <w:tcMar>
              <w:top w:w="0" w:type="dxa"/>
              <w:bottom w:w="0" w:type="dxa"/>
            </w:tcMar>
            <w:vAlign w:val="center"/>
          </w:tcPr>
          <w:p w14:paraId="229CAB53" w14:textId="77777777" w:rsidR="006038A4" w:rsidRDefault="00000000">
            <w:pPr>
              <w:keepNext/>
              <w:keepLines/>
              <w:spacing w:after="0" w:line="240" w:lineRule="auto"/>
            </w:pPr>
            <w:r>
              <w:rPr>
                <w:sz w:val="18"/>
              </w:rPr>
              <w:t>3222</w:t>
            </w:r>
          </w:p>
        </w:tc>
        <w:tc>
          <w:tcPr>
            <w:tcW w:w="3180" w:type="dxa"/>
            <w:tcMar>
              <w:top w:w="0" w:type="dxa"/>
              <w:bottom w:w="0" w:type="dxa"/>
            </w:tcMar>
            <w:vAlign w:val="center"/>
          </w:tcPr>
          <w:p w14:paraId="6F656159" w14:textId="77777777" w:rsidR="006038A4" w:rsidRDefault="00000000">
            <w:pPr>
              <w:keepNext/>
              <w:keepLines/>
              <w:spacing w:after="0" w:line="240" w:lineRule="auto"/>
            </w:pPr>
            <w:r>
              <w:rPr>
                <w:sz w:val="18"/>
              </w:rPr>
              <w:t>Materijal i sirovine</w:t>
            </w:r>
          </w:p>
        </w:tc>
        <w:tc>
          <w:tcPr>
            <w:tcW w:w="700" w:type="dxa"/>
            <w:tcMar>
              <w:top w:w="0" w:type="dxa"/>
              <w:bottom w:w="0" w:type="dxa"/>
            </w:tcMar>
            <w:vAlign w:val="center"/>
          </w:tcPr>
          <w:p w14:paraId="1F547724" w14:textId="77777777" w:rsidR="006038A4" w:rsidRDefault="00000000">
            <w:pPr>
              <w:keepNext/>
              <w:keepLines/>
              <w:spacing w:after="0" w:line="240" w:lineRule="auto"/>
            </w:pPr>
            <w:r>
              <w:rPr>
                <w:sz w:val="18"/>
              </w:rPr>
              <w:t>3222</w:t>
            </w:r>
          </w:p>
        </w:tc>
        <w:tc>
          <w:tcPr>
            <w:tcW w:w="1860" w:type="dxa"/>
            <w:tcMar>
              <w:top w:w="0" w:type="dxa"/>
              <w:bottom w:w="0" w:type="dxa"/>
            </w:tcMar>
            <w:vAlign w:val="center"/>
          </w:tcPr>
          <w:p w14:paraId="066B5176" w14:textId="77777777" w:rsidR="006038A4" w:rsidRDefault="00000000">
            <w:pPr>
              <w:keepNext/>
              <w:keepLines/>
              <w:spacing w:after="0" w:line="240" w:lineRule="auto"/>
              <w:jc w:val="right"/>
            </w:pPr>
            <w:r>
              <w:rPr>
                <w:sz w:val="18"/>
              </w:rPr>
              <w:t>7.234,58</w:t>
            </w:r>
          </w:p>
        </w:tc>
        <w:tc>
          <w:tcPr>
            <w:tcW w:w="1860" w:type="dxa"/>
            <w:tcMar>
              <w:top w:w="0" w:type="dxa"/>
              <w:bottom w:w="0" w:type="dxa"/>
            </w:tcMar>
            <w:vAlign w:val="center"/>
          </w:tcPr>
          <w:p w14:paraId="5E20C3E1" w14:textId="77777777" w:rsidR="006038A4" w:rsidRDefault="00000000">
            <w:pPr>
              <w:keepNext/>
              <w:keepLines/>
              <w:spacing w:after="0" w:line="240" w:lineRule="auto"/>
              <w:jc w:val="right"/>
            </w:pPr>
            <w:r>
              <w:rPr>
                <w:sz w:val="18"/>
              </w:rPr>
              <w:t>3.581,32</w:t>
            </w:r>
          </w:p>
        </w:tc>
        <w:tc>
          <w:tcPr>
            <w:tcW w:w="700" w:type="dxa"/>
            <w:tcMar>
              <w:top w:w="0" w:type="dxa"/>
              <w:bottom w:w="0" w:type="dxa"/>
            </w:tcMar>
            <w:vAlign w:val="center"/>
          </w:tcPr>
          <w:p w14:paraId="2A07686E" w14:textId="77777777" w:rsidR="006038A4" w:rsidRDefault="00000000">
            <w:pPr>
              <w:keepNext/>
              <w:keepLines/>
              <w:spacing w:after="0" w:line="240" w:lineRule="auto"/>
              <w:jc w:val="right"/>
            </w:pPr>
            <w:r>
              <w:rPr>
                <w:sz w:val="18"/>
              </w:rPr>
              <w:t>49,5</w:t>
            </w:r>
          </w:p>
        </w:tc>
      </w:tr>
    </w:tbl>
    <w:p w14:paraId="5BBA194B" w14:textId="77777777" w:rsidR="006038A4" w:rsidRDefault="006038A4">
      <w:pPr>
        <w:spacing w:after="0"/>
      </w:pPr>
    </w:p>
    <w:p w14:paraId="0D69462A" w14:textId="77777777" w:rsidR="006038A4" w:rsidRDefault="00000000">
      <w:r>
        <w:t>Bilježi se smanjenje u odnosu na prethodno razdoblje jer je veći dio radionica i promidžbenih materijala po projektima koji se provode nabavljen u prethodnom razdoblju.</w:t>
      </w:r>
    </w:p>
    <w:p w14:paraId="1AB56CA9" w14:textId="77777777" w:rsidR="006038A4" w:rsidRDefault="006038A4"/>
    <w:p w14:paraId="3D165A19" w14:textId="77777777" w:rsidR="006038A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35284A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B4E98"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52EB13"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10E0CF"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D6C25"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7AA688"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534FC7" w14:textId="77777777" w:rsidR="006038A4" w:rsidRDefault="00000000">
            <w:pPr>
              <w:keepNext/>
              <w:keepLines/>
              <w:spacing w:after="0" w:line="240" w:lineRule="auto"/>
              <w:jc w:val="center"/>
            </w:pPr>
            <w:r>
              <w:rPr>
                <w:b/>
                <w:sz w:val="18"/>
              </w:rPr>
              <w:t>Indeks (%)</w:t>
            </w:r>
          </w:p>
        </w:tc>
      </w:tr>
      <w:tr w:rsidR="006038A4" w14:paraId="07D62D88" w14:textId="77777777">
        <w:tblPrEx>
          <w:tblCellMar>
            <w:top w:w="0" w:type="dxa"/>
            <w:bottom w:w="0" w:type="dxa"/>
          </w:tblCellMar>
        </w:tblPrEx>
        <w:trPr>
          <w:cantSplit/>
          <w:trHeight w:val="560"/>
        </w:trPr>
        <w:tc>
          <w:tcPr>
            <w:tcW w:w="700" w:type="dxa"/>
            <w:tcMar>
              <w:top w:w="0" w:type="dxa"/>
              <w:bottom w:w="0" w:type="dxa"/>
            </w:tcMar>
            <w:vAlign w:val="center"/>
          </w:tcPr>
          <w:p w14:paraId="65C8A733" w14:textId="77777777" w:rsidR="006038A4" w:rsidRDefault="00000000">
            <w:pPr>
              <w:keepNext/>
              <w:keepLines/>
              <w:spacing w:after="0" w:line="240" w:lineRule="auto"/>
            </w:pPr>
            <w:r>
              <w:rPr>
                <w:sz w:val="18"/>
              </w:rPr>
              <w:t>3224</w:t>
            </w:r>
          </w:p>
        </w:tc>
        <w:tc>
          <w:tcPr>
            <w:tcW w:w="3180" w:type="dxa"/>
            <w:tcMar>
              <w:top w:w="0" w:type="dxa"/>
              <w:bottom w:w="0" w:type="dxa"/>
            </w:tcMar>
            <w:vAlign w:val="center"/>
          </w:tcPr>
          <w:p w14:paraId="5DC34E9B" w14:textId="77777777" w:rsidR="006038A4"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8AB6C8C" w14:textId="77777777" w:rsidR="006038A4" w:rsidRDefault="00000000">
            <w:pPr>
              <w:keepNext/>
              <w:keepLines/>
              <w:spacing w:after="0" w:line="240" w:lineRule="auto"/>
            </w:pPr>
            <w:r>
              <w:rPr>
                <w:sz w:val="18"/>
              </w:rPr>
              <w:t>3224</w:t>
            </w:r>
          </w:p>
        </w:tc>
        <w:tc>
          <w:tcPr>
            <w:tcW w:w="1860" w:type="dxa"/>
            <w:tcMar>
              <w:top w:w="0" w:type="dxa"/>
              <w:bottom w:w="0" w:type="dxa"/>
            </w:tcMar>
            <w:vAlign w:val="center"/>
          </w:tcPr>
          <w:p w14:paraId="53700156" w14:textId="77777777" w:rsidR="006038A4" w:rsidRDefault="00000000">
            <w:pPr>
              <w:keepNext/>
              <w:keepLines/>
              <w:spacing w:after="0" w:line="240" w:lineRule="auto"/>
              <w:jc w:val="right"/>
            </w:pPr>
            <w:r>
              <w:rPr>
                <w:sz w:val="18"/>
              </w:rPr>
              <w:t>4.374,55</w:t>
            </w:r>
          </w:p>
        </w:tc>
        <w:tc>
          <w:tcPr>
            <w:tcW w:w="1860" w:type="dxa"/>
            <w:tcMar>
              <w:top w:w="0" w:type="dxa"/>
              <w:bottom w:w="0" w:type="dxa"/>
            </w:tcMar>
            <w:vAlign w:val="center"/>
          </w:tcPr>
          <w:p w14:paraId="0AF02F37" w14:textId="77777777" w:rsidR="006038A4" w:rsidRDefault="00000000">
            <w:pPr>
              <w:keepNext/>
              <w:keepLines/>
              <w:spacing w:after="0" w:line="240" w:lineRule="auto"/>
              <w:jc w:val="right"/>
            </w:pPr>
            <w:r>
              <w:rPr>
                <w:sz w:val="18"/>
              </w:rPr>
              <w:t>946,19</w:t>
            </w:r>
          </w:p>
        </w:tc>
        <w:tc>
          <w:tcPr>
            <w:tcW w:w="700" w:type="dxa"/>
            <w:tcMar>
              <w:top w:w="0" w:type="dxa"/>
              <w:bottom w:w="0" w:type="dxa"/>
            </w:tcMar>
            <w:vAlign w:val="center"/>
          </w:tcPr>
          <w:p w14:paraId="3B5004D5" w14:textId="77777777" w:rsidR="006038A4" w:rsidRDefault="00000000">
            <w:pPr>
              <w:keepNext/>
              <w:keepLines/>
              <w:spacing w:after="0" w:line="240" w:lineRule="auto"/>
              <w:jc w:val="right"/>
            </w:pPr>
            <w:r>
              <w:rPr>
                <w:sz w:val="18"/>
              </w:rPr>
              <w:t>21,6</w:t>
            </w:r>
          </w:p>
        </w:tc>
      </w:tr>
    </w:tbl>
    <w:p w14:paraId="3E9D7F31" w14:textId="77777777" w:rsidR="006038A4" w:rsidRDefault="006038A4">
      <w:pPr>
        <w:spacing w:after="0"/>
      </w:pPr>
    </w:p>
    <w:p w14:paraId="3B254AE6" w14:textId="77777777" w:rsidR="006038A4" w:rsidRDefault="00000000">
      <w:r>
        <w:t>Bilježi se smanjenje u odnosu isto razdoblje jer je veći dio redovnog servisa popravka i tekućeg održavanja voznog parka napravljen prethodne godine. </w:t>
      </w:r>
    </w:p>
    <w:p w14:paraId="20B73A11" w14:textId="77777777" w:rsidR="006038A4" w:rsidRDefault="006038A4"/>
    <w:p w14:paraId="303B4FDB" w14:textId="77777777" w:rsidR="006038A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CABEA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734871"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AF069E"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9DC711"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AD80D"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F54C0"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2FE21" w14:textId="77777777" w:rsidR="006038A4" w:rsidRDefault="00000000">
            <w:pPr>
              <w:keepNext/>
              <w:keepLines/>
              <w:spacing w:after="0" w:line="240" w:lineRule="auto"/>
              <w:jc w:val="center"/>
            </w:pPr>
            <w:r>
              <w:rPr>
                <w:b/>
                <w:sz w:val="18"/>
              </w:rPr>
              <w:t>Indeks (%)</w:t>
            </w:r>
          </w:p>
        </w:tc>
      </w:tr>
      <w:tr w:rsidR="006038A4" w14:paraId="3CB68F68" w14:textId="77777777">
        <w:tblPrEx>
          <w:tblCellMar>
            <w:top w:w="0" w:type="dxa"/>
            <w:bottom w:w="0" w:type="dxa"/>
          </w:tblCellMar>
        </w:tblPrEx>
        <w:trPr>
          <w:cantSplit/>
          <w:trHeight w:val="560"/>
        </w:trPr>
        <w:tc>
          <w:tcPr>
            <w:tcW w:w="700" w:type="dxa"/>
            <w:tcMar>
              <w:top w:w="0" w:type="dxa"/>
              <w:bottom w:w="0" w:type="dxa"/>
            </w:tcMar>
            <w:vAlign w:val="center"/>
          </w:tcPr>
          <w:p w14:paraId="5A442819" w14:textId="77777777" w:rsidR="006038A4" w:rsidRDefault="00000000">
            <w:pPr>
              <w:keepNext/>
              <w:keepLines/>
              <w:spacing w:after="0" w:line="240" w:lineRule="auto"/>
            </w:pPr>
            <w:r>
              <w:rPr>
                <w:sz w:val="18"/>
              </w:rPr>
              <w:t>3227</w:t>
            </w:r>
          </w:p>
        </w:tc>
        <w:tc>
          <w:tcPr>
            <w:tcW w:w="3180" w:type="dxa"/>
            <w:tcMar>
              <w:top w:w="0" w:type="dxa"/>
              <w:bottom w:w="0" w:type="dxa"/>
            </w:tcMar>
            <w:vAlign w:val="center"/>
          </w:tcPr>
          <w:p w14:paraId="03C3402C" w14:textId="77777777" w:rsidR="006038A4"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4817979" w14:textId="77777777" w:rsidR="006038A4" w:rsidRDefault="00000000">
            <w:pPr>
              <w:keepNext/>
              <w:keepLines/>
              <w:spacing w:after="0" w:line="240" w:lineRule="auto"/>
            </w:pPr>
            <w:r>
              <w:rPr>
                <w:sz w:val="18"/>
              </w:rPr>
              <w:t>3227</w:t>
            </w:r>
          </w:p>
        </w:tc>
        <w:tc>
          <w:tcPr>
            <w:tcW w:w="1860" w:type="dxa"/>
            <w:tcMar>
              <w:top w:w="0" w:type="dxa"/>
              <w:bottom w:w="0" w:type="dxa"/>
            </w:tcMar>
            <w:vAlign w:val="center"/>
          </w:tcPr>
          <w:p w14:paraId="261E1E94" w14:textId="77777777" w:rsidR="006038A4" w:rsidRDefault="00000000">
            <w:pPr>
              <w:keepNext/>
              <w:keepLines/>
              <w:spacing w:after="0" w:line="240" w:lineRule="auto"/>
              <w:jc w:val="right"/>
            </w:pPr>
            <w:r>
              <w:rPr>
                <w:sz w:val="18"/>
              </w:rPr>
              <w:t>3.077,35</w:t>
            </w:r>
          </w:p>
        </w:tc>
        <w:tc>
          <w:tcPr>
            <w:tcW w:w="1860" w:type="dxa"/>
            <w:tcMar>
              <w:top w:w="0" w:type="dxa"/>
              <w:bottom w:w="0" w:type="dxa"/>
            </w:tcMar>
            <w:vAlign w:val="center"/>
          </w:tcPr>
          <w:p w14:paraId="6C87E4E9" w14:textId="77777777" w:rsidR="006038A4" w:rsidRDefault="00000000">
            <w:pPr>
              <w:keepNext/>
              <w:keepLines/>
              <w:spacing w:after="0" w:line="240" w:lineRule="auto"/>
              <w:jc w:val="right"/>
            </w:pPr>
            <w:r>
              <w:rPr>
                <w:sz w:val="18"/>
              </w:rPr>
              <w:t>238,24</w:t>
            </w:r>
          </w:p>
        </w:tc>
        <w:tc>
          <w:tcPr>
            <w:tcW w:w="700" w:type="dxa"/>
            <w:tcMar>
              <w:top w:w="0" w:type="dxa"/>
              <w:bottom w:w="0" w:type="dxa"/>
            </w:tcMar>
            <w:vAlign w:val="center"/>
          </w:tcPr>
          <w:p w14:paraId="3465B3FC" w14:textId="77777777" w:rsidR="006038A4" w:rsidRDefault="00000000">
            <w:pPr>
              <w:keepNext/>
              <w:keepLines/>
              <w:spacing w:after="0" w:line="240" w:lineRule="auto"/>
              <w:jc w:val="right"/>
            </w:pPr>
            <w:r>
              <w:rPr>
                <w:sz w:val="18"/>
              </w:rPr>
              <w:t>7,7</w:t>
            </w:r>
          </w:p>
        </w:tc>
      </w:tr>
    </w:tbl>
    <w:p w14:paraId="42A85FD9" w14:textId="77777777" w:rsidR="006038A4" w:rsidRDefault="006038A4">
      <w:pPr>
        <w:spacing w:after="0"/>
      </w:pPr>
    </w:p>
    <w:p w14:paraId="5071E438" w14:textId="77777777" w:rsidR="006038A4" w:rsidRDefault="00000000">
      <w:r>
        <w:t>Bilježi se smanjenje u odnosu na isto razdoblje jer je veći dio službene radne odjeće i obuće nabavljen u prethodnom razdoblju.</w:t>
      </w:r>
    </w:p>
    <w:p w14:paraId="3C4D10C2" w14:textId="77777777" w:rsidR="006038A4" w:rsidRDefault="006038A4"/>
    <w:p w14:paraId="7388C933" w14:textId="77777777" w:rsidR="006038A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7195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9BAADA"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F65AD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6D3CD"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82B14"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95C4E"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770576" w14:textId="77777777" w:rsidR="006038A4" w:rsidRDefault="00000000">
            <w:pPr>
              <w:keepNext/>
              <w:keepLines/>
              <w:spacing w:after="0" w:line="240" w:lineRule="auto"/>
              <w:jc w:val="center"/>
            </w:pPr>
            <w:r>
              <w:rPr>
                <w:b/>
                <w:sz w:val="18"/>
              </w:rPr>
              <w:t>Indeks (%)</w:t>
            </w:r>
          </w:p>
        </w:tc>
      </w:tr>
      <w:tr w:rsidR="006038A4" w14:paraId="444D5A7B" w14:textId="77777777">
        <w:tblPrEx>
          <w:tblCellMar>
            <w:top w:w="0" w:type="dxa"/>
            <w:bottom w:w="0" w:type="dxa"/>
          </w:tblCellMar>
        </w:tblPrEx>
        <w:trPr>
          <w:cantSplit/>
          <w:trHeight w:val="560"/>
        </w:trPr>
        <w:tc>
          <w:tcPr>
            <w:tcW w:w="700" w:type="dxa"/>
            <w:tcMar>
              <w:top w:w="0" w:type="dxa"/>
              <w:bottom w:w="0" w:type="dxa"/>
            </w:tcMar>
            <w:vAlign w:val="center"/>
          </w:tcPr>
          <w:p w14:paraId="11AD50C6" w14:textId="77777777" w:rsidR="006038A4" w:rsidRDefault="00000000">
            <w:pPr>
              <w:keepNext/>
              <w:keepLines/>
              <w:spacing w:after="0" w:line="240" w:lineRule="auto"/>
            </w:pPr>
            <w:r>
              <w:rPr>
                <w:sz w:val="18"/>
              </w:rPr>
              <w:t>3233</w:t>
            </w:r>
          </w:p>
        </w:tc>
        <w:tc>
          <w:tcPr>
            <w:tcW w:w="3180" w:type="dxa"/>
            <w:tcMar>
              <w:top w:w="0" w:type="dxa"/>
              <w:bottom w:w="0" w:type="dxa"/>
            </w:tcMar>
            <w:vAlign w:val="center"/>
          </w:tcPr>
          <w:p w14:paraId="410085BC" w14:textId="77777777" w:rsidR="006038A4"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4C1753EA" w14:textId="77777777" w:rsidR="006038A4" w:rsidRDefault="00000000">
            <w:pPr>
              <w:keepNext/>
              <w:keepLines/>
              <w:spacing w:after="0" w:line="240" w:lineRule="auto"/>
            </w:pPr>
            <w:r>
              <w:rPr>
                <w:sz w:val="18"/>
              </w:rPr>
              <w:t>3233</w:t>
            </w:r>
          </w:p>
        </w:tc>
        <w:tc>
          <w:tcPr>
            <w:tcW w:w="1860" w:type="dxa"/>
            <w:tcMar>
              <w:top w:w="0" w:type="dxa"/>
              <w:bottom w:w="0" w:type="dxa"/>
            </w:tcMar>
            <w:vAlign w:val="center"/>
          </w:tcPr>
          <w:p w14:paraId="35FB10F3" w14:textId="77777777" w:rsidR="006038A4" w:rsidRDefault="00000000">
            <w:pPr>
              <w:keepNext/>
              <w:keepLines/>
              <w:spacing w:after="0" w:line="240" w:lineRule="auto"/>
              <w:jc w:val="right"/>
            </w:pPr>
            <w:r>
              <w:rPr>
                <w:sz w:val="18"/>
              </w:rPr>
              <w:t>14.095,61</w:t>
            </w:r>
          </w:p>
        </w:tc>
        <w:tc>
          <w:tcPr>
            <w:tcW w:w="1860" w:type="dxa"/>
            <w:tcMar>
              <w:top w:w="0" w:type="dxa"/>
              <w:bottom w:w="0" w:type="dxa"/>
            </w:tcMar>
            <w:vAlign w:val="center"/>
          </w:tcPr>
          <w:p w14:paraId="7BC6050D" w14:textId="77777777" w:rsidR="006038A4" w:rsidRDefault="00000000">
            <w:pPr>
              <w:keepNext/>
              <w:keepLines/>
              <w:spacing w:after="0" w:line="240" w:lineRule="auto"/>
              <w:jc w:val="right"/>
            </w:pPr>
            <w:r>
              <w:rPr>
                <w:sz w:val="18"/>
              </w:rPr>
              <w:t>2.088,26</w:t>
            </w:r>
          </w:p>
        </w:tc>
        <w:tc>
          <w:tcPr>
            <w:tcW w:w="700" w:type="dxa"/>
            <w:tcMar>
              <w:top w:w="0" w:type="dxa"/>
              <w:bottom w:w="0" w:type="dxa"/>
            </w:tcMar>
            <w:vAlign w:val="center"/>
          </w:tcPr>
          <w:p w14:paraId="76BCCE90" w14:textId="77777777" w:rsidR="006038A4" w:rsidRDefault="00000000">
            <w:pPr>
              <w:keepNext/>
              <w:keepLines/>
              <w:spacing w:after="0" w:line="240" w:lineRule="auto"/>
              <w:jc w:val="right"/>
            </w:pPr>
            <w:r>
              <w:rPr>
                <w:sz w:val="18"/>
              </w:rPr>
              <w:t>14,8</w:t>
            </w:r>
          </w:p>
        </w:tc>
      </w:tr>
    </w:tbl>
    <w:p w14:paraId="6694F760" w14:textId="77777777" w:rsidR="006038A4" w:rsidRDefault="006038A4">
      <w:pPr>
        <w:spacing w:after="0"/>
      </w:pPr>
    </w:p>
    <w:p w14:paraId="7BE2FDC8" w14:textId="77777777" w:rsidR="006038A4" w:rsidRDefault="00000000">
      <w:r>
        <w:t>Bilježi se znatno smanjenje na troškovima promidžbe i informiranja jer je veći dio troškova po projektima koji se provode nastao u prethodnom razdoblju.</w:t>
      </w:r>
    </w:p>
    <w:p w14:paraId="4E2ECEAD" w14:textId="77777777" w:rsidR="006038A4" w:rsidRDefault="006038A4"/>
    <w:p w14:paraId="74BBA7C6" w14:textId="77777777" w:rsidR="006038A4"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3ED140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04A78"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D5BB08"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4E8C9"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360C8"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749293"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7FAE6" w14:textId="77777777" w:rsidR="006038A4" w:rsidRDefault="00000000">
            <w:pPr>
              <w:keepNext/>
              <w:keepLines/>
              <w:spacing w:after="0" w:line="240" w:lineRule="auto"/>
              <w:jc w:val="center"/>
            </w:pPr>
            <w:r>
              <w:rPr>
                <w:b/>
                <w:sz w:val="18"/>
              </w:rPr>
              <w:t>Indeks (%)</w:t>
            </w:r>
          </w:p>
        </w:tc>
      </w:tr>
      <w:tr w:rsidR="006038A4" w14:paraId="08A87989" w14:textId="77777777">
        <w:tblPrEx>
          <w:tblCellMar>
            <w:top w:w="0" w:type="dxa"/>
            <w:bottom w:w="0" w:type="dxa"/>
          </w:tblCellMar>
        </w:tblPrEx>
        <w:trPr>
          <w:cantSplit/>
          <w:trHeight w:val="560"/>
        </w:trPr>
        <w:tc>
          <w:tcPr>
            <w:tcW w:w="700" w:type="dxa"/>
            <w:tcMar>
              <w:top w:w="0" w:type="dxa"/>
              <w:bottom w:w="0" w:type="dxa"/>
            </w:tcMar>
            <w:vAlign w:val="center"/>
          </w:tcPr>
          <w:p w14:paraId="7C9779B3" w14:textId="77777777" w:rsidR="006038A4" w:rsidRDefault="00000000">
            <w:pPr>
              <w:keepNext/>
              <w:keepLines/>
              <w:spacing w:after="0" w:line="240" w:lineRule="auto"/>
            </w:pPr>
            <w:r>
              <w:rPr>
                <w:sz w:val="18"/>
              </w:rPr>
              <w:t>3235</w:t>
            </w:r>
          </w:p>
        </w:tc>
        <w:tc>
          <w:tcPr>
            <w:tcW w:w="3180" w:type="dxa"/>
            <w:tcMar>
              <w:top w:w="0" w:type="dxa"/>
              <w:bottom w:w="0" w:type="dxa"/>
            </w:tcMar>
            <w:vAlign w:val="center"/>
          </w:tcPr>
          <w:p w14:paraId="5A24BE30" w14:textId="77777777" w:rsidR="006038A4" w:rsidRDefault="00000000">
            <w:pPr>
              <w:keepNext/>
              <w:keepLines/>
              <w:spacing w:after="0" w:line="240" w:lineRule="auto"/>
            </w:pPr>
            <w:r>
              <w:rPr>
                <w:sz w:val="18"/>
              </w:rPr>
              <w:t>Zakupnine i najamnine</w:t>
            </w:r>
          </w:p>
        </w:tc>
        <w:tc>
          <w:tcPr>
            <w:tcW w:w="700" w:type="dxa"/>
            <w:tcMar>
              <w:top w:w="0" w:type="dxa"/>
              <w:bottom w:w="0" w:type="dxa"/>
            </w:tcMar>
            <w:vAlign w:val="center"/>
          </w:tcPr>
          <w:p w14:paraId="4EA12282" w14:textId="77777777" w:rsidR="006038A4" w:rsidRDefault="00000000">
            <w:pPr>
              <w:keepNext/>
              <w:keepLines/>
              <w:spacing w:after="0" w:line="240" w:lineRule="auto"/>
            </w:pPr>
            <w:r>
              <w:rPr>
                <w:sz w:val="18"/>
              </w:rPr>
              <w:t>3235</w:t>
            </w:r>
          </w:p>
        </w:tc>
        <w:tc>
          <w:tcPr>
            <w:tcW w:w="1860" w:type="dxa"/>
            <w:tcMar>
              <w:top w:w="0" w:type="dxa"/>
              <w:bottom w:w="0" w:type="dxa"/>
            </w:tcMar>
            <w:vAlign w:val="center"/>
          </w:tcPr>
          <w:p w14:paraId="16B5C4B9" w14:textId="77777777" w:rsidR="006038A4" w:rsidRDefault="00000000">
            <w:pPr>
              <w:keepNext/>
              <w:keepLines/>
              <w:spacing w:after="0" w:line="240" w:lineRule="auto"/>
              <w:jc w:val="right"/>
            </w:pPr>
            <w:r>
              <w:rPr>
                <w:sz w:val="18"/>
              </w:rPr>
              <w:t>640,00</w:t>
            </w:r>
          </w:p>
        </w:tc>
        <w:tc>
          <w:tcPr>
            <w:tcW w:w="1860" w:type="dxa"/>
            <w:tcMar>
              <w:top w:w="0" w:type="dxa"/>
              <w:bottom w:w="0" w:type="dxa"/>
            </w:tcMar>
            <w:vAlign w:val="center"/>
          </w:tcPr>
          <w:p w14:paraId="5648AB79" w14:textId="77777777" w:rsidR="006038A4" w:rsidRDefault="00000000">
            <w:pPr>
              <w:keepNext/>
              <w:keepLines/>
              <w:spacing w:after="0" w:line="240" w:lineRule="auto"/>
              <w:jc w:val="right"/>
            </w:pPr>
            <w:r>
              <w:rPr>
                <w:sz w:val="18"/>
              </w:rPr>
              <w:t>1.973,50</w:t>
            </w:r>
          </w:p>
        </w:tc>
        <w:tc>
          <w:tcPr>
            <w:tcW w:w="700" w:type="dxa"/>
            <w:tcMar>
              <w:top w:w="0" w:type="dxa"/>
              <w:bottom w:w="0" w:type="dxa"/>
            </w:tcMar>
            <w:vAlign w:val="center"/>
          </w:tcPr>
          <w:p w14:paraId="3CE718A0" w14:textId="77777777" w:rsidR="006038A4" w:rsidRDefault="00000000">
            <w:pPr>
              <w:keepNext/>
              <w:keepLines/>
              <w:spacing w:after="0" w:line="240" w:lineRule="auto"/>
              <w:jc w:val="right"/>
            </w:pPr>
            <w:r>
              <w:rPr>
                <w:sz w:val="18"/>
              </w:rPr>
              <w:t>308,4</w:t>
            </w:r>
          </w:p>
        </w:tc>
      </w:tr>
    </w:tbl>
    <w:p w14:paraId="424B3437" w14:textId="77777777" w:rsidR="006038A4" w:rsidRDefault="006038A4">
      <w:pPr>
        <w:spacing w:after="0"/>
      </w:pPr>
    </w:p>
    <w:p w14:paraId="5A1F0BB4" w14:textId="77777777" w:rsidR="006038A4" w:rsidRDefault="00000000">
      <w:r>
        <w:t>Bilježi se povećanje u odnosu na isto razdoblje prethodne godine, zbog zakupa dvorane za održavanje konferencije u sklopu projekta Horizon Climempower.</w:t>
      </w:r>
    </w:p>
    <w:p w14:paraId="7410DD8A" w14:textId="77777777" w:rsidR="006038A4" w:rsidRDefault="006038A4"/>
    <w:p w14:paraId="460FFF94" w14:textId="77777777" w:rsidR="006038A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33640F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CCA1C3"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669D3E"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B2079"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9B0B4"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CAEB4"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6E38B" w14:textId="77777777" w:rsidR="006038A4" w:rsidRDefault="00000000">
            <w:pPr>
              <w:keepNext/>
              <w:keepLines/>
              <w:spacing w:after="0" w:line="240" w:lineRule="auto"/>
              <w:jc w:val="center"/>
            </w:pPr>
            <w:r>
              <w:rPr>
                <w:b/>
                <w:sz w:val="18"/>
              </w:rPr>
              <w:t>Indeks (%)</w:t>
            </w:r>
          </w:p>
        </w:tc>
      </w:tr>
      <w:tr w:rsidR="006038A4" w14:paraId="1F8CD64D" w14:textId="77777777">
        <w:tblPrEx>
          <w:tblCellMar>
            <w:top w:w="0" w:type="dxa"/>
            <w:bottom w:w="0" w:type="dxa"/>
          </w:tblCellMar>
        </w:tblPrEx>
        <w:trPr>
          <w:cantSplit/>
          <w:trHeight w:val="560"/>
        </w:trPr>
        <w:tc>
          <w:tcPr>
            <w:tcW w:w="700" w:type="dxa"/>
            <w:tcMar>
              <w:top w:w="0" w:type="dxa"/>
              <w:bottom w:w="0" w:type="dxa"/>
            </w:tcMar>
            <w:vAlign w:val="center"/>
          </w:tcPr>
          <w:p w14:paraId="20A64C32" w14:textId="77777777" w:rsidR="006038A4" w:rsidRDefault="00000000">
            <w:pPr>
              <w:keepNext/>
              <w:keepLines/>
              <w:spacing w:after="0" w:line="240" w:lineRule="auto"/>
            </w:pPr>
            <w:r>
              <w:rPr>
                <w:sz w:val="18"/>
              </w:rPr>
              <w:t>3236</w:t>
            </w:r>
          </w:p>
        </w:tc>
        <w:tc>
          <w:tcPr>
            <w:tcW w:w="3180" w:type="dxa"/>
            <w:tcMar>
              <w:top w:w="0" w:type="dxa"/>
              <w:bottom w:w="0" w:type="dxa"/>
            </w:tcMar>
            <w:vAlign w:val="center"/>
          </w:tcPr>
          <w:p w14:paraId="26C5EBC3" w14:textId="77777777" w:rsidR="006038A4"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11F26A44" w14:textId="77777777" w:rsidR="006038A4" w:rsidRDefault="00000000">
            <w:pPr>
              <w:keepNext/>
              <w:keepLines/>
              <w:spacing w:after="0" w:line="240" w:lineRule="auto"/>
            </w:pPr>
            <w:r>
              <w:rPr>
                <w:sz w:val="18"/>
              </w:rPr>
              <w:t>3236</w:t>
            </w:r>
          </w:p>
        </w:tc>
        <w:tc>
          <w:tcPr>
            <w:tcW w:w="1860" w:type="dxa"/>
            <w:tcMar>
              <w:top w:w="0" w:type="dxa"/>
              <w:bottom w:w="0" w:type="dxa"/>
            </w:tcMar>
            <w:vAlign w:val="center"/>
          </w:tcPr>
          <w:p w14:paraId="1BE35EB0" w14:textId="77777777" w:rsidR="006038A4" w:rsidRDefault="00000000">
            <w:pPr>
              <w:keepNext/>
              <w:keepLines/>
              <w:spacing w:after="0" w:line="240" w:lineRule="auto"/>
              <w:jc w:val="right"/>
            </w:pPr>
            <w:r>
              <w:rPr>
                <w:sz w:val="18"/>
              </w:rPr>
              <w:t>40,20</w:t>
            </w:r>
          </w:p>
        </w:tc>
        <w:tc>
          <w:tcPr>
            <w:tcW w:w="1860" w:type="dxa"/>
            <w:tcMar>
              <w:top w:w="0" w:type="dxa"/>
              <w:bottom w:w="0" w:type="dxa"/>
            </w:tcMar>
            <w:vAlign w:val="center"/>
          </w:tcPr>
          <w:p w14:paraId="7CB45150" w14:textId="77777777" w:rsidR="006038A4" w:rsidRDefault="00000000">
            <w:pPr>
              <w:keepNext/>
              <w:keepLines/>
              <w:spacing w:after="0" w:line="240" w:lineRule="auto"/>
              <w:jc w:val="right"/>
            </w:pPr>
            <w:r>
              <w:rPr>
                <w:sz w:val="18"/>
              </w:rPr>
              <w:t>1.325,62</w:t>
            </w:r>
          </w:p>
        </w:tc>
        <w:tc>
          <w:tcPr>
            <w:tcW w:w="700" w:type="dxa"/>
            <w:tcMar>
              <w:top w:w="0" w:type="dxa"/>
              <w:bottom w:w="0" w:type="dxa"/>
            </w:tcMar>
            <w:vAlign w:val="center"/>
          </w:tcPr>
          <w:p w14:paraId="2CA05FED" w14:textId="77777777" w:rsidR="006038A4" w:rsidRDefault="00000000">
            <w:pPr>
              <w:keepNext/>
              <w:keepLines/>
              <w:spacing w:after="0" w:line="240" w:lineRule="auto"/>
              <w:jc w:val="right"/>
            </w:pPr>
            <w:r>
              <w:rPr>
                <w:sz w:val="18"/>
              </w:rPr>
              <w:t>3297,6</w:t>
            </w:r>
          </w:p>
        </w:tc>
      </w:tr>
    </w:tbl>
    <w:p w14:paraId="7905FB38" w14:textId="77777777" w:rsidR="006038A4" w:rsidRDefault="006038A4">
      <w:pPr>
        <w:spacing w:after="0"/>
      </w:pPr>
    </w:p>
    <w:p w14:paraId="75839CD6" w14:textId="77777777" w:rsidR="006038A4" w:rsidRDefault="00000000">
      <w:r>
        <w:t>Bilježi se povećanje jer su obavljeni redovni sistematski pregledi za djelatnike.</w:t>
      </w:r>
    </w:p>
    <w:p w14:paraId="5524A392" w14:textId="77777777" w:rsidR="006038A4" w:rsidRDefault="006038A4"/>
    <w:p w14:paraId="79A3EC2E" w14:textId="77777777" w:rsidR="006038A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3BBEB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A8A03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1823FF"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9AD54"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EB3222"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EEEF75"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6542AE" w14:textId="77777777" w:rsidR="006038A4" w:rsidRDefault="00000000">
            <w:pPr>
              <w:keepNext/>
              <w:keepLines/>
              <w:spacing w:after="0" w:line="240" w:lineRule="auto"/>
              <w:jc w:val="center"/>
            </w:pPr>
            <w:r>
              <w:rPr>
                <w:b/>
                <w:sz w:val="18"/>
              </w:rPr>
              <w:t>Indeks (%)</w:t>
            </w:r>
          </w:p>
        </w:tc>
      </w:tr>
      <w:tr w:rsidR="006038A4" w14:paraId="3DF305B5" w14:textId="77777777">
        <w:tblPrEx>
          <w:tblCellMar>
            <w:top w:w="0" w:type="dxa"/>
            <w:bottom w:w="0" w:type="dxa"/>
          </w:tblCellMar>
        </w:tblPrEx>
        <w:trPr>
          <w:cantSplit/>
          <w:trHeight w:val="560"/>
        </w:trPr>
        <w:tc>
          <w:tcPr>
            <w:tcW w:w="700" w:type="dxa"/>
            <w:tcMar>
              <w:top w:w="0" w:type="dxa"/>
              <w:bottom w:w="0" w:type="dxa"/>
            </w:tcMar>
            <w:vAlign w:val="center"/>
          </w:tcPr>
          <w:p w14:paraId="2B4DE761" w14:textId="77777777" w:rsidR="006038A4" w:rsidRDefault="00000000">
            <w:pPr>
              <w:keepNext/>
              <w:keepLines/>
              <w:spacing w:after="0" w:line="240" w:lineRule="auto"/>
            </w:pPr>
            <w:r>
              <w:rPr>
                <w:sz w:val="18"/>
              </w:rPr>
              <w:t>3237</w:t>
            </w:r>
          </w:p>
        </w:tc>
        <w:tc>
          <w:tcPr>
            <w:tcW w:w="3180" w:type="dxa"/>
            <w:tcMar>
              <w:top w:w="0" w:type="dxa"/>
              <w:bottom w:w="0" w:type="dxa"/>
            </w:tcMar>
            <w:vAlign w:val="center"/>
          </w:tcPr>
          <w:p w14:paraId="66B2344D" w14:textId="77777777" w:rsidR="006038A4"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D8D536D" w14:textId="77777777" w:rsidR="006038A4" w:rsidRDefault="00000000">
            <w:pPr>
              <w:keepNext/>
              <w:keepLines/>
              <w:spacing w:after="0" w:line="240" w:lineRule="auto"/>
            </w:pPr>
            <w:r>
              <w:rPr>
                <w:sz w:val="18"/>
              </w:rPr>
              <w:t>3237</w:t>
            </w:r>
          </w:p>
        </w:tc>
        <w:tc>
          <w:tcPr>
            <w:tcW w:w="1860" w:type="dxa"/>
            <w:tcMar>
              <w:top w:w="0" w:type="dxa"/>
              <w:bottom w:w="0" w:type="dxa"/>
            </w:tcMar>
            <w:vAlign w:val="center"/>
          </w:tcPr>
          <w:p w14:paraId="11C65431" w14:textId="77777777" w:rsidR="006038A4" w:rsidRDefault="00000000">
            <w:pPr>
              <w:keepNext/>
              <w:keepLines/>
              <w:spacing w:after="0" w:line="240" w:lineRule="auto"/>
              <w:jc w:val="right"/>
            </w:pPr>
            <w:r>
              <w:rPr>
                <w:sz w:val="18"/>
              </w:rPr>
              <w:t>24.114,65</w:t>
            </w:r>
          </w:p>
        </w:tc>
        <w:tc>
          <w:tcPr>
            <w:tcW w:w="1860" w:type="dxa"/>
            <w:tcMar>
              <w:top w:w="0" w:type="dxa"/>
              <w:bottom w:w="0" w:type="dxa"/>
            </w:tcMar>
            <w:vAlign w:val="center"/>
          </w:tcPr>
          <w:p w14:paraId="00989C3E" w14:textId="77777777" w:rsidR="006038A4" w:rsidRDefault="00000000">
            <w:pPr>
              <w:keepNext/>
              <w:keepLines/>
              <w:spacing w:after="0" w:line="240" w:lineRule="auto"/>
              <w:jc w:val="right"/>
            </w:pPr>
            <w:r>
              <w:rPr>
                <w:sz w:val="18"/>
              </w:rPr>
              <w:t>165.219,73</w:t>
            </w:r>
          </w:p>
        </w:tc>
        <w:tc>
          <w:tcPr>
            <w:tcW w:w="700" w:type="dxa"/>
            <w:tcMar>
              <w:top w:w="0" w:type="dxa"/>
              <w:bottom w:w="0" w:type="dxa"/>
            </w:tcMar>
            <w:vAlign w:val="center"/>
          </w:tcPr>
          <w:p w14:paraId="79AEB217" w14:textId="77777777" w:rsidR="006038A4" w:rsidRDefault="00000000">
            <w:pPr>
              <w:keepNext/>
              <w:keepLines/>
              <w:spacing w:after="0" w:line="240" w:lineRule="auto"/>
              <w:jc w:val="right"/>
            </w:pPr>
            <w:r>
              <w:rPr>
                <w:sz w:val="18"/>
              </w:rPr>
              <w:t>685,1</w:t>
            </w:r>
          </w:p>
        </w:tc>
      </w:tr>
    </w:tbl>
    <w:p w14:paraId="2F2EBE9B" w14:textId="77777777" w:rsidR="006038A4" w:rsidRDefault="006038A4">
      <w:pPr>
        <w:spacing w:after="0"/>
      </w:pPr>
    </w:p>
    <w:p w14:paraId="2F530F96" w14:textId="77777777" w:rsidR="006038A4" w:rsidRDefault="00000000">
      <w:r>
        <w:t>Bilježi se znatno povećanje u odnosu na isto razdoblje prethodne godine, zbog rashoda po projektu "Uređenje posebnog ornitološkog rezervata Podpanj" te podmirenih troškova za izrađene Planove upravljanja "Perivoj kralja Tomislava u Osijeku" i  "Park kralja Petra Krešimira u Osijeku"</w:t>
      </w:r>
    </w:p>
    <w:p w14:paraId="2089A7B7" w14:textId="77777777" w:rsidR="006038A4" w:rsidRDefault="006038A4"/>
    <w:p w14:paraId="5BF3D020" w14:textId="77777777" w:rsidR="006038A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6975A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8441C1"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DB52B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03860"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FA040"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33AE3D"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B01EB9" w14:textId="77777777" w:rsidR="006038A4" w:rsidRDefault="00000000">
            <w:pPr>
              <w:keepNext/>
              <w:keepLines/>
              <w:spacing w:after="0" w:line="240" w:lineRule="auto"/>
              <w:jc w:val="center"/>
            </w:pPr>
            <w:r>
              <w:rPr>
                <w:b/>
                <w:sz w:val="18"/>
              </w:rPr>
              <w:t>Indeks (%)</w:t>
            </w:r>
          </w:p>
        </w:tc>
      </w:tr>
      <w:tr w:rsidR="006038A4" w14:paraId="78AC89D6" w14:textId="77777777">
        <w:tblPrEx>
          <w:tblCellMar>
            <w:top w:w="0" w:type="dxa"/>
            <w:bottom w:w="0" w:type="dxa"/>
          </w:tblCellMar>
        </w:tblPrEx>
        <w:trPr>
          <w:cantSplit/>
          <w:trHeight w:val="560"/>
        </w:trPr>
        <w:tc>
          <w:tcPr>
            <w:tcW w:w="700" w:type="dxa"/>
            <w:tcMar>
              <w:top w:w="0" w:type="dxa"/>
              <w:bottom w:w="0" w:type="dxa"/>
            </w:tcMar>
            <w:vAlign w:val="center"/>
          </w:tcPr>
          <w:p w14:paraId="4773E7ED" w14:textId="77777777" w:rsidR="006038A4" w:rsidRDefault="00000000">
            <w:pPr>
              <w:keepNext/>
              <w:keepLines/>
              <w:spacing w:after="0" w:line="240" w:lineRule="auto"/>
            </w:pPr>
            <w:r>
              <w:rPr>
                <w:sz w:val="18"/>
              </w:rPr>
              <w:t>3293</w:t>
            </w:r>
          </w:p>
        </w:tc>
        <w:tc>
          <w:tcPr>
            <w:tcW w:w="3180" w:type="dxa"/>
            <w:tcMar>
              <w:top w:w="0" w:type="dxa"/>
              <w:bottom w:w="0" w:type="dxa"/>
            </w:tcMar>
            <w:vAlign w:val="center"/>
          </w:tcPr>
          <w:p w14:paraId="44954604" w14:textId="77777777" w:rsidR="006038A4" w:rsidRDefault="00000000">
            <w:pPr>
              <w:keepNext/>
              <w:keepLines/>
              <w:spacing w:after="0" w:line="240" w:lineRule="auto"/>
            </w:pPr>
            <w:r>
              <w:rPr>
                <w:sz w:val="18"/>
              </w:rPr>
              <w:t>Reprezentacija</w:t>
            </w:r>
          </w:p>
        </w:tc>
        <w:tc>
          <w:tcPr>
            <w:tcW w:w="700" w:type="dxa"/>
            <w:tcMar>
              <w:top w:w="0" w:type="dxa"/>
              <w:bottom w:w="0" w:type="dxa"/>
            </w:tcMar>
            <w:vAlign w:val="center"/>
          </w:tcPr>
          <w:p w14:paraId="2DABD5E8" w14:textId="77777777" w:rsidR="006038A4" w:rsidRDefault="00000000">
            <w:pPr>
              <w:keepNext/>
              <w:keepLines/>
              <w:spacing w:after="0" w:line="240" w:lineRule="auto"/>
            </w:pPr>
            <w:r>
              <w:rPr>
                <w:sz w:val="18"/>
              </w:rPr>
              <w:t>3293</w:t>
            </w:r>
          </w:p>
        </w:tc>
        <w:tc>
          <w:tcPr>
            <w:tcW w:w="1860" w:type="dxa"/>
            <w:tcMar>
              <w:top w:w="0" w:type="dxa"/>
              <w:bottom w:w="0" w:type="dxa"/>
            </w:tcMar>
            <w:vAlign w:val="center"/>
          </w:tcPr>
          <w:p w14:paraId="3439DF94" w14:textId="77777777" w:rsidR="006038A4" w:rsidRDefault="00000000">
            <w:pPr>
              <w:keepNext/>
              <w:keepLines/>
              <w:spacing w:after="0" w:line="240" w:lineRule="auto"/>
              <w:jc w:val="right"/>
            </w:pPr>
            <w:r>
              <w:rPr>
                <w:sz w:val="18"/>
              </w:rPr>
              <w:t>1.603,09</w:t>
            </w:r>
          </w:p>
        </w:tc>
        <w:tc>
          <w:tcPr>
            <w:tcW w:w="1860" w:type="dxa"/>
            <w:tcMar>
              <w:top w:w="0" w:type="dxa"/>
              <w:bottom w:w="0" w:type="dxa"/>
            </w:tcMar>
            <w:vAlign w:val="center"/>
          </w:tcPr>
          <w:p w14:paraId="2B42F062" w14:textId="77777777" w:rsidR="006038A4" w:rsidRDefault="00000000">
            <w:pPr>
              <w:keepNext/>
              <w:keepLines/>
              <w:spacing w:after="0" w:line="240" w:lineRule="auto"/>
              <w:jc w:val="right"/>
            </w:pPr>
            <w:r>
              <w:rPr>
                <w:sz w:val="18"/>
              </w:rPr>
              <w:t>7.994,50</w:t>
            </w:r>
          </w:p>
        </w:tc>
        <w:tc>
          <w:tcPr>
            <w:tcW w:w="700" w:type="dxa"/>
            <w:tcMar>
              <w:top w:w="0" w:type="dxa"/>
              <w:bottom w:w="0" w:type="dxa"/>
            </w:tcMar>
            <w:vAlign w:val="center"/>
          </w:tcPr>
          <w:p w14:paraId="420C9B3F" w14:textId="77777777" w:rsidR="006038A4" w:rsidRDefault="00000000">
            <w:pPr>
              <w:keepNext/>
              <w:keepLines/>
              <w:spacing w:after="0" w:line="240" w:lineRule="auto"/>
              <w:jc w:val="right"/>
            </w:pPr>
            <w:r>
              <w:rPr>
                <w:sz w:val="18"/>
              </w:rPr>
              <w:t>498,7</w:t>
            </w:r>
          </w:p>
        </w:tc>
      </w:tr>
    </w:tbl>
    <w:p w14:paraId="0E30E1AA" w14:textId="77777777" w:rsidR="006038A4" w:rsidRDefault="006038A4">
      <w:pPr>
        <w:spacing w:after="0"/>
      </w:pPr>
    </w:p>
    <w:p w14:paraId="044DE13F" w14:textId="77777777" w:rsidR="006038A4" w:rsidRDefault="00000000">
      <w:r>
        <w:t>Bilježi se znatno povećanje u odnosu na prethodno razdoblje, zbog konferencije koja se održavala u sklopu projekta Horizon Climempower te je JU Agencija bila organizator iste.  Osim konferencije održan je Stručni skup čuvara prirode Republike Hrvatske u Osječko-baranjskoj županiji te je JU Agencija sudjelovala u djelu troškova za organizaciju.</w:t>
      </w:r>
    </w:p>
    <w:p w14:paraId="3AC6E0FD" w14:textId="77777777" w:rsidR="006038A4" w:rsidRDefault="00000000">
      <w:r>
        <w:lastRenderedPageBreak/>
        <w:t> </w:t>
      </w:r>
    </w:p>
    <w:p w14:paraId="7AB21F1A" w14:textId="77777777" w:rsidR="006038A4" w:rsidRDefault="006038A4"/>
    <w:p w14:paraId="1E601671" w14:textId="77777777" w:rsidR="006038A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D7D9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9B967"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5A81C8"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19592"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3D98E"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DFC6C"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97AEC" w14:textId="77777777" w:rsidR="006038A4" w:rsidRDefault="00000000">
            <w:pPr>
              <w:keepNext/>
              <w:keepLines/>
              <w:spacing w:after="0" w:line="240" w:lineRule="auto"/>
              <w:jc w:val="center"/>
            </w:pPr>
            <w:r>
              <w:rPr>
                <w:b/>
                <w:sz w:val="18"/>
              </w:rPr>
              <w:t>Indeks (%)</w:t>
            </w:r>
          </w:p>
        </w:tc>
      </w:tr>
      <w:tr w:rsidR="006038A4" w14:paraId="618F45EE" w14:textId="77777777">
        <w:tblPrEx>
          <w:tblCellMar>
            <w:top w:w="0" w:type="dxa"/>
            <w:bottom w:w="0" w:type="dxa"/>
          </w:tblCellMar>
        </w:tblPrEx>
        <w:trPr>
          <w:cantSplit/>
          <w:trHeight w:val="560"/>
        </w:trPr>
        <w:tc>
          <w:tcPr>
            <w:tcW w:w="700" w:type="dxa"/>
            <w:tcMar>
              <w:top w:w="0" w:type="dxa"/>
              <w:bottom w:w="0" w:type="dxa"/>
            </w:tcMar>
            <w:vAlign w:val="center"/>
          </w:tcPr>
          <w:p w14:paraId="465843F3" w14:textId="77777777" w:rsidR="006038A4" w:rsidRDefault="006038A4">
            <w:pPr>
              <w:keepNext/>
              <w:keepLines/>
              <w:spacing w:after="0" w:line="240" w:lineRule="auto"/>
            </w:pPr>
          </w:p>
        </w:tc>
        <w:tc>
          <w:tcPr>
            <w:tcW w:w="3180" w:type="dxa"/>
            <w:tcMar>
              <w:top w:w="0" w:type="dxa"/>
              <w:bottom w:w="0" w:type="dxa"/>
            </w:tcMar>
            <w:vAlign w:val="center"/>
          </w:tcPr>
          <w:p w14:paraId="4333A635" w14:textId="77777777" w:rsidR="006038A4"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2F7C0C6E" w14:textId="77777777" w:rsidR="006038A4" w:rsidRDefault="00000000">
            <w:pPr>
              <w:keepNext/>
              <w:keepLines/>
              <w:spacing w:after="0" w:line="240" w:lineRule="auto"/>
            </w:pPr>
            <w:r>
              <w:rPr>
                <w:sz w:val="18"/>
              </w:rPr>
              <w:t>Y001</w:t>
            </w:r>
          </w:p>
        </w:tc>
        <w:tc>
          <w:tcPr>
            <w:tcW w:w="1860" w:type="dxa"/>
            <w:tcMar>
              <w:top w:w="0" w:type="dxa"/>
              <w:bottom w:w="0" w:type="dxa"/>
            </w:tcMar>
            <w:vAlign w:val="center"/>
          </w:tcPr>
          <w:p w14:paraId="44F5B53F" w14:textId="77777777" w:rsidR="006038A4" w:rsidRDefault="00000000">
            <w:pPr>
              <w:keepNext/>
              <w:keepLines/>
              <w:spacing w:after="0" w:line="240" w:lineRule="auto"/>
              <w:jc w:val="right"/>
            </w:pPr>
            <w:r>
              <w:rPr>
                <w:sz w:val="18"/>
              </w:rPr>
              <w:t>35.199,08</w:t>
            </w:r>
          </w:p>
        </w:tc>
        <w:tc>
          <w:tcPr>
            <w:tcW w:w="1860" w:type="dxa"/>
            <w:tcMar>
              <w:top w:w="0" w:type="dxa"/>
              <w:bottom w:w="0" w:type="dxa"/>
            </w:tcMar>
            <w:vAlign w:val="center"/>
          </w:tcPr>
          <w:p w14:paraId="21371133" w14:textId="77777777" w:rsidR="006038A4" w:rsidRDefault="00000000">
            <w:pPr>
              <w:keepNext/>
              <w:keepLines/>
              <w:spacing w:after="0" w:line="240" w:lineRule="auto"/>
              <w:jc w:val="right"/>
            </w:pPr>
            <w:r>
              <w:rPr>
                <w:sz w:val="18"/>
              </w:rPr>
              <w:t>13.661,52</w:t>
            </w:r>
          </w:p>
        </w:tc>
        <w:tc>
          <w:tcPr>
            <w:tcW w:w="700" w:type="dxa"/>
            <w:tcMar>
              <w:top w:w="0" w:type="dxa"/>
              <w:bottom w:w="0" w:type="dxa"/>
            </w:tcMar>
            <w:vAlign w:val="center"/>
          </w:tcPr>
          <w:p w14:paraId="589B86CD" w14:textId="77777777" w:rsidR="006038A4" w:rsidRDefault="00000000">
            <w:pPr>
              <w:keepNext/>
              <w:keepLines/>
              <w:spacing w:after="0" w:line="240" w:lineRule="auto"/>
              <w:jc w:val="right"/>
            </w:pPr>
            <w:r>
              <w:rPr>
                <w:sz w:val="18"/>
              </w:rPr>
              <w:t>38,8</w:t>
            </w:r>
          </w:p>
        </w:tc>
      </w:tr>
    </w:tbl>
    <w:p w14:paraId="507AA509" w14:textId="77777777" w:rsidR="006038A4" w:rsidRDefault="006038A4">
      <w:pPr>
        <w:spacing w:after="0"/>
      </w:pPr>
    </w:p>
    <w:p w14:paraId="0C1A217D" w14:textId="77777777" w:rsidR="006038A4" w:rsidRDefault="00000000">
      <w:r>
        <w:t>Bilježi se smanjenje manjka prihoda poslovanja u odnosu na isto razdoblje prethodne godine, jer je veći dio aktivnosti i troškova po projektima koje provodi JU Agencija ostvareno u prethodnom razdoblju,te se refundacija sredstava očekuje u narednom razdoblju.</w:t>
      </w:r>
    </w:p>
    <w:p w14:paraId="61837C5E" w14:textId="77777777" w:rsidR="006038A4" w:rsidRDefault="006038A4"/>
    <w:p w14:paraId="0C4718B0" w14:textId="77777777" w:rsidR="006038A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379A1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AD90D"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B59BA4"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20CD34"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D0993"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52365"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FBAF1C" w14:textId="77777777" w:rsidR="006038A4" w:rsidRDefault="00000000">
            <w:pPr>
              <w:keepNext/>
              <w:keepLines/>
              <w:spacing w:after="0" w:line="240" w:lineRule="auto"/>
              <w:jc w:val="center"/>
            </w:pPr>
            <w:r>
              <w:rPr>
                <w:b/>
                <w:sz w:val="18"/>
              </w:rPr>
              <w:t>Indeks (%)</w:t>
            </w:r>
          </w:p>
        </w:tc>
      </w:tr>
      <w:tr w:rsidR="006038A4" w14:paraId="05B076E3" w14:textId="77777777">
        <w:tblPrEx>
          <w:tblCellMar>
            <w:top w:w="0" w:type="dxa"/>
            <w:bottom w:w="0" w:type="dxa"/>
          </w:tblCellMar>
        </w:tblPrEx>
        <w:trPr>
          <w:cantSplit/>
          <w:trHeight w:val="560"/>
        </w:trPr>
        <w:tc>
          <w:tcPr>
            <w:tcW w:w="700" w:type="dxa"/>
            <w:tcMar>
              <w:top w:w="0" w:type="dxa"/>
              <w:bottom w:w="0" w:type="dxa"/>
            </w:tcMar>
            <w:vAlign w:val="center"/>
          </w:tcPr>
          <w:p w14:paraId="3C3D831B" w14:textId="77777777" w:rsidR="006038A4" w:rsidRDefault="00000000">
            <w:pPr>
              <w:keepNext/>
              <w:keepLines/>
              <w:spacing w:after="0" w:line="240" w:lineRule="auto"/>
            </w:pPr>
            <w:r>
              <w:rPr>
                <w:sz w:val="18"/>
              </w:rPr>
              <w:t>422</w:t>
            </w:r>
          </w:p>
        </w:tc>
        <w:tc>
          <w:tcPr>
            <w:tcW w:w="3180" w:type="dxa"/>
            <w:tcMar>
              <w:top w:w="0" w:type="dxa"/>
              <w:bottom w:w="0" w:type="dxa"/>
            </w:tcMar>
            <w:vAlign w:val="center"/>
          </w:tcPr>
          <w:p w14:paraId="1EDB814C" w14:textId="77777777" w:rsidR="006038A4"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65FBF5F5" w14:textId="77777777" w:rsidR="006038A4" w:rsidRDefault="00000000">
            <w:pPr>
              <w:keepNext/>
              <w:keepLines/>
              <w:spacing w:after="0" w:line="240" w:lineRule="auto"/>
            </w:pPr>
            <w:r>
              <w:rPr>
                <w:sz w:val="18"/>
              </w:rPr>
              <w:t>422</w:t>
            </w:r>
          </w:p>
        </w:tc>
        <w:tc>
          <w:tcPr>
            <w:tcW w:w="1860" w:type="dxa"/>
            <w:tcMar>
              <w:top w:w="0" w:type="dxa"/>
              <w:bottom w:w="0" w:type="dxa"/>
            </w:tcMar>
            <w:vAlign w:val="center"/>
          </w:tcPr>
          <w:p w14:paraId="0E179E6F" w14:textId="77777777" w:rsidR="006038A4" w:rsidRDefault="00000000">
            <w:pPr>
              <w:keepNext/>
              <w:keepLines/>
              <w:spacing w:after="0" w:line="240" w:lineRule="auto"/>
              <w:jc w:val="right"/>
            </w:pPr>
            <w:r>
              <w:rPr>
                <w:sz w:val="18"/>
              </w:rPr>
              <w:t>4.312,64</w:t>
            </w:r>
          </w:p>
        </w:tc>
        <w:tc>
          <w:tcPr>
            <w:tcW w:w="1860" w:type="dxa"/>
            <w:tcMar>
              <w:top w:w="0" w:type="dxa"/>
              <w:bottom w:w="0" w:type="dxa"/>
            </w:tcMar>
            <w:vAlign w:val="center"/>
          </w:tcPr>
          <w:p w14:paraId="3B25C76A" w14:textId="77777777" w:rsidR="006038A4" w:rsidRDefault="00000000">
            <w:pPr>
              <w:keepNext/>
              <w:keepLines/>
              <w:spacing w:after="0" w:line="240" w:lineRule="auto"/>
              <w:jc w:val="right"/>
            </w:pPr>
            <w:r>
              <w:rPr>
                <w:sz w:val="18"/>
              </w:rPr>
              <w:t>0,14</w:t>
            </w:r>
          </w:p>
        </w:tc>
        <w:tc>
          <w:tcPr>
            <w:tcW w:w="700" w:type="dxa"/>
            <w:tcMar>
              <w:top w:w="0" w:type="dxa"/>
              <w:bottom w:w="0" w:type="dxa"/>
            </w:tcMar>
            <w:vAlign w:val="center"/>
          </w:tcPr>
          <w:p w14:paraId="3360051A" w14:textId="77777777" w:rsidR="006038A4" w:rsidRDefault="00000000">
            <w:pPr>
              <w:keepNext/>
              <w:keepLines/>
              <w:spacing w:after="0" w:line="240" w:lineRule="auto"/>
              <w:jc w:val="right"/>
            </w:pPr>
            <w:r>
              <w:rPr>
                <w:sz w:val="18"/>
              </w:rPr>
              <w:t>0,0</w:t>
            </w:r>
          </w:p>
        </w:tc>
      </w:tr>
    </w:tbl>
    <w:p w14:paraId="5DCD9E08" w14:textId="77777777" w:rsidR="006038A4" w:rsidRDefault="006038A4">
      <w:pPr>
        <w:spacing w:after="0"/>
      </w:pPr>
    </w:p>
    <w:p w14:paraId="34348242" w14:textId="77777777" w:rsidR="006038A4" w:rsidRDefault="00000000">
      <w:r>
        <w:t>U 2025. godini nabavljen je novi službeni mobitel marke Honor 400 Lite 256  GB  5G CRNI.</w:t>
      </w:r>
    </w:p>
    <w:p w14:paraId="5D75E049" w14:textId="77777777" w:rsidR="006038A4" w:rsidRDefault="006038A4"/>
    <w:p w14:paraId="0E2A4736" w14:textId="77777777" w:rsidR="006038A4" w:rsidRDefault="00000000">
      <w:pPr>
        <w:keepNext/>
        <w:spacing w:line="240" w:lineRule="auto"/>
        <w:jc w:val="center"/>
      </w:pPr>
      <w:r>
        <w:rPr>
          <w:b/>
          <w:sz w:val="28"/>
        </w:rPr>
        <w:t>Bilanca</w:t>
      </w:r>
    </w:p>
    <w:p w14:paraId="06FA8B4F" w14:textId="77777777" w:rsidR="006038A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6C0460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EFB03"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08D76"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FCCDF"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35B27"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5CE6B2"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0B1A7F" w14:textId="77777777" w:rsidR="006038A4" w:rsidRDefault="00000000">
            <w:pPr>
              <w:keepNext/>
              <w:keepLines/>
              <w:spacing w:after="0" w:line="240" w:lineRule="auto"/>
              <w:jc w:val="center"/>
            </w:pPr>
            <w:r>
              <w:rPr>
                <w:b/>
                <w:sz w:val="18"/>
              </w:rPr>
              <w:t>Indeks (%)</w:t>
            </w:r>
          </w:p>
        </w:tc>
      </w:tr>
      <w:tr w:rsidR="006038A4" w14:paraId="2D376BA8" w14:textId="77777777">
        <w:tblPrEx>
          <w:tblCellMar>
            <w:top w:w="0" w:type="dxa"/>
            <w:bottom w:w="0" w:type="dxa"/>
          </w:tblCellMar>
        </w:tblPrEx>
        <w:trPr>
          <w:cantSplit/>
          <w:trHeight w:val="560"/>
        </w:trPr>
        <w:tc>
          <w:tcPr>
            <w:tcW w:w="700" w:type="dxa"/>
            <w:tcMar>
              <w:top w:w="0" w:type="dxa"/>
              <w:bottom w:w="0" w:type="dxa"/>
            </w:tcMar>
            <w:vAlign w:val="center"/>
          </w:tcPr>
          <w:p w14:paraId="7EEAFA69" w14:textId="77777777" w:rsidR="006038A4" w:rsidRDefault="00000000">
            <w:pPr>
              <w:keepNext/>
              <w:keepLines/>
              <w:spacing w:after="0" w:line="240" w:lineRule="auto"/>
            </w:pPr>
            <w:r>
              <w:rPr>
                <w:sz w:val="18"/>
              </w:rPr>
              <w:t>0222</w:t>
            </w:r>
          </w:p>
        </w:tc>
        <w:tc>
          <w:tcPr>
            <w:tcW w:w="3180" w:type="dxa"/>
            <w:tcMar>
              <w:top w:w="0" w:type="dxa"/>
              <w:bottom w:w="0" w:type="dxa"/>
            </w:tcMar>
            <w:vAlign w:val="center"/>
          </w:tcPr>
          <w:p w14:paraId="17957A6B" w14:textId="77777777" w:rsidR="006038A4" w:rsidRDefault="00000000">
            <w:pPr>
              <w:keepNext/>
              <w:keepLines/>
              <w:spacing w:after="0" w:line="240" w:lineRule="auto"/>
            </w:pPr>
            <w:r>
              <w:rPr>
                <w:sz w:val="18"/>
              </w:rPr>
              <w:t>Komunikacijska oprema</w:t>
            </w:r>
          </w:p>
        </w:tc>
        <w:tc>
          <w:tcPr>
            <w:tcW w:w="700" w:type="dxa"/>
            <w:tcMar>
              <w:top w:w="0" w:type="dxa"/>
              <w:bottom w:w="0" w:type="dxa"/>
            </w:tcMar>
            <w:vAlign w:val="center"/>
          </w:tcPr>
          <w:p w14:paraId="5C86207A" w14:textId="77777777" w:rsidR="006038A4" w:rsidRDefault="00000000">
            <w:pPr>
              <w:keepNext/>
              <w:keepLines/>
              <w:spacing w:after="0" w:line="240" w:lineRule="auto"/>
            </w:pPr>
            <w:r>
              <w:rPr>
                <w:sz w:val="18"/>
              </w:rPr>
              <w:t>0222</w:t>
            </w:r>
          </w:p>
        </w:tc>
        <w:tc>
          <w:tcPr>
            <w:tcW w:w="1860" w:type="dxa"/>
            <w:tcMar>
              <w:top w:w="0" w:type="dxa"/>
              <w:bottom w:w="0" w:type="dxa"/>
            </w:tcMar>
            <w:vAlign w:val="center"/>
          </w:tcPr>
          <w:p w14:paraId="2098DEB6" w14:textId="77777777" w:rsidR="006038A4" w:rsidRDefault="00000000">
            <w:pPr>
              <w:keepNext/>
              <w:keepLines/>
              <w:spacing w:after="0" w:line="240" w:lineRule="auto"/>
              <w:jc w:val="right"/>
            </w:pPr>
            <w:r>
              <w:rPr>
                <w:sz w:val="18"/>
              </w:rPr>
              <w:t>4.509,89</w:t>
            </w:r>
          </w:p>
        </w:tc>
        <w:tc>
          <w:tcPr>
            <w:tcW w:w="1860" w:type="dxa"/>
            <w:tcMar>
              <w:top w:w="0" w:type="dxa"/>
              <w:bottom w:w="0" w:type="dxa"/>
            </w:tcMar>
            <w:vAlign w:val="center"/>
          </w:tcPr>
          <w:p w14:paraId="23A49F4C" w14:textId="77777777" w:rsidR="006038A4" w:rsidRDefault="00000000">
            <w:pPr>
              <w:keepNext/>
              <w:keepLines/>
              <w:spacing w:after="0" w:line="240" w:lineRule="auto"/>
              <w:jc w:val="right"/>
            </w:pPr>
            <w:r>
              <w:rPr>
                <w:sz w:val="18"/>
              </w:rPr>
              <w:t>4.510,03</w:t>
            </w:r>
          </w:p>
        </w:tc>
        <w:tc>
          <w:tcPr>
            <w:tcW w:w="700" w:type="dxa"/>
            <w:tcMar>
              <w:top w:w="0" w:type="dxa"/>
              <w:bottom w:w="0" w:type="dxa"/>
            </w:tcMar>
            <w:vAlign w:val="center"/>
          </w:tcPr>
          <w:p w14:paraId="7D7FDC68" w14:textId="77777777" w:rsidR="006038A4" w:rsidRDefault="00000000">
            <w:pPr>
              <w:keepNext/>
              <w:keepLines/>
              <w:spacing w:after="0" w:line="240" w:lineRule="auto"/>
              <w:jc w:val="right"/>
            </w:pPr>
            <w:r>
              <w:rPr>
                <w:sz w:val="18"/>
              </w:rPr>
              <w:t>100,0</w:t>
            </w:r>
          </w:p>
        </w:tc>
      </w:tr>
    </w:tbl>
    <w:p w14:paraId="4229D8D5" w14:textId="77777777" w:rsidR="006038A4" w:rsidRDefault="006038A4">
      <w:pPr>
        <w:spacing w:after="0"/>
      </w:pPr>
    </w:p>
    <w:p w14:paraId="5A70442F" w14:textId="77777777" w:rsidR="006038A4" w:rsidRDefault="00000000">
      <w:r>
        <w:t>U 2025. godini nabavljen je novi službeni mobitel marke Honor 400 Lite 256  GB  5G CRNI</w:t>
      </w:r>
    </w:p>
    <w:p w14:paraId="1FF4B2FE" w14:textId="77777777" w:rsidR="006038A4" w:rsidRDefault="006038A4"/>
    <w:p w14:paraId="09836DAE" w14:textId="77777777" w:rsidR="006038A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586C1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13508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60EBD"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01026"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285114"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BB4CD9"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7FFFD7" w14:textId="77777777" w:rsidR="006038A4" w:rsidRDefault="00000000">
            <w:pPr>
              <w:keepNext/>
              <w:keepLines/>
              <w:spacing w:after="0" w:line="240" w:lineRule="auto"/>
              <w:jc w:val="center"/>
            </w:pPr>
            <w:r>
              <w:rPr>
                <w:b/>
                <w:sz w:val="18"/>
              </w:rPr>
              <w:t>Indeks (%)</w:t>
            </w:r>
          </w:p>
        </w:tc>
      </w:tr>
      <w:tr w:rsidR="006038A4" w14:paraId="2F3F8B01" w14:textId="77777777">
        <w:tblPrEx>
          <w:tblCellMar>
            <w:top w:w="0" w:type="dxa"/>
            <w:bottom w:w="0" w:type="dxa"/>
          </w:tblCellMar>
        </w:tblPrEx>
        <w:trPr>
          <w:cantSplit/>
          <w:trHeight w:val="560"/>
        </w:trPr>
        <w:tc>
          <w:tcPr>
            <w:tcW w:w="700" w:type="dxa"/>
            <w:tcMar>
              <w:top w:w="0" w:type="dxa"/>
              <w:bottom w:w="0" w:type="dxa"/>
            </w:tcMar>
            <w:vAlign w:val="center"/>
          </w:tcPr>
          <w:p w14:paraId="1DAFE474" w14:textId="77777777" w:rsidR="006038A4" w:rsidRDefault="00000000">
            <w:pPr>
              <w:keepNext/>
              <w:keepLines/>
              <w:spacing w:after="0" w:line="240" w:lineRule="auto"/>
            </w:pPr>
            <w:r>
              <w:rPr>
                <w:sz w:val="18"/>
              </w:rPr>
              <w:t>129</w:t>
            </w:r>
          </w:p>
        </w:tc>
        <w:tc>
          <w:tcPr>
            <w:tcW w:w="3180" w:type="dxa"/>
            <w:tcMar>
              <w:top w:w="0" w:type="dxa"/>
              <w:bottom w:w="0" w:type="dxa"/>
            </w:tcMar>
            <w:vAlign w:val="center"/>
          </w:tcPr>
          <w:p w14:paraId="7FDBFED1" w14:textId="77777777" w:rsidR="006038A4" w:rsidRDefault="00000000">
            <w:pPr>
              <w:keepNext/>
              <w:keepLines/>
              <w:spacing w:after="0" w:line="240" w:lineRule="auto"/>
            </w:pPr>
            <w:r>
              <w:rPr>
                <w:sz w:val="18"/>
              </w:rPr>
              <w:t>Ostala potraživanja</w:t>
            </w:r>
          </w:p>
        </w:tc>
        <w:tc>
          <w:tcPr>
            <w:tcW w:w="700" w:type="dxa"/>
            <w:tcMar>
              <w:top w:w="0" w:type="dxa"/>
              <w:bottom w:w="0" w:type="dxa"/>
            </w:tcMar>
            <w:vAlign w:val="center"/>
          </w:tcPr>
          <w:p w14:paraId="35CB9F79" w14:textId="77777777" w:rsidR="006038A4" w:rsidRDefault="00000000">
            <w:pPr>
              <w:keepNext/>
              <w:keepLines/>
              <w:spacing w:after="0" w:line="240" w:lineRule="auto"/>
            </w:pPr>
            <w:r>
              <w:rPr>
                <w:sz w:val="18"/>
              </w:rPr>
              <w:t>129</w:t>
            </w:r>
          </w:p>
        </w:tc>
        <w:tc>
          <w:tcPr>
            <w:tcW w:w="1860" w:type="dxa"/>
            <w:tcMar>
              <w:top w:w="0" w:type="dxa"/>
              <w:bottom w:w="0" w:type="dxa"/>
            </w:tcMar>
            <w:vAlign w:val="center"/>
          </w:tcPr>
          <w:p w14:paraId="5FB1AF0F" w14:textId="77777777" w:rsidR="006038A4" w:rsidRDefault="00000000">
            <w:pPr>
              <w:keepNext/>
              <w:keepLines/>
              <w:spacing w:after="0" w:line="240" w:lineRule="auto"/>
              <w:jc w:val="right"/>
            </w:pPr>
            <w:r>
              <w:rPr>
                <w:sz w:val="18"/>
              </w:rPr>
              <w:t>49,14</w:t>
            </w:r>
          </w:p>
        </w:tc>
        <w:tc>
          <w:tcPr>
            <w:tcW w:w="1860" w:type="dxa"/>
            <w:tcMar>
              <w:top w:w="0" w:type="dxa"/>
              <w:bottom w:w="0" w:type="dxa"/>
            </w:tcMar>
            <w:vAlign w:val="center"/>
          </w:tcPr>
          <w:p w14:paraId="3E95C4F1"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12B11A02" w14:textId="77777777" w:rsidR="006038A4" w:rsidRDefault="00000000">
            <w:pPr>
              <w:keepNext/>
              <w:keepLines/>
              <w:spacing w:after="0" w:line="240" w:lineRule="auto"/>
              <w:jc w:val="right"/>
            </w:pPr>
            <w:r>
              <w:rPr>
                <w:sz w:val="18"/>
              </w:rPr>
              <w:t>0</w:t>
            </w:r>
          </w:p>
        </w:tc>
      </w:tr>
    </w:tbl>
    <w:p w14:paraId="33C47BC2" w14:textId="77777777" w:rsidR="006038A4" w:rsidRDefault="006038A4">
      <w:pPr>
        <w:spacing w:after="0"/>
      </w:pPr>
    </w:p>
    <w:p w14:paraId="13CC8584" w14:textId="77777777" w:rsidR="006038A4" w:rsidRDefault="00000000">
      <w:r>
        <w:t>U 2025. godini izvršena je refundacija bolovanja za zaposlenika, te nema novih potraživanja.</w:t>
      </w:r>
    </w:p>
    <w:p w14:paraId="282AC9BC" w14:textId="77777777" w:rsidR="006038A4" w:rsidRDefault="006038A4"/>
    <w:p w14:paraId="0C89EE4B" w14:textId="77777777" w:rsidR="006038A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449FD4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87612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A7E273"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A72D38"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E9636"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55596D"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549333" w14:textId="77777777" w:rsidR="006038A4" w:rsidRDefault="00000000">
            <w:pPr>
              <w:keepNext/>
              <w:keepLines/>
              <w:spacing w:after="0" w:line="240" w:lineRule="auto"/>
              <w:jc w:val="center"/>
            </w:pPr>
            <w:r>
              <w:rPr>
                <w:b/>
                <w:sz w:val="18"/>
              </w:rPr>
              <w:t>Indeks (%)</w:t>
            </w:r>
          </w:p>
        </w:tc>
      </w:tr>
      <w:tr w:rsidR="006038A4" w14:paraId="0E6324C7" w14:textId="77777777">
        <w:tblPrEx>
          <w:tblCellMar>
            <w:top w:w="0" w:type="dxa"/>
            <w:bottom w:w="0" w:type="dxa"/>
          </w:tblCellMar>
        </w:tblPrEx>
        <w:trPr>
          <w:cantSplit/>
          <w:trHeight w:val="560"/>
        </w:trPr>
        <w:tc>
          <w:tcPr>
            <w:tcW w:w="700" w:type="dxa"/>
            <w:tcMar>
              <w:top w:w="0" w:type="dxa"/>
              <w:bottom w:w="0" w:type="dxa"/>
            </w:tcMar>
            <w:vAlign w:val="center"/>
          </w:tcPr>
          <w:p w14:paraId="42B6B546" w14:textId="77777777" w:rsidR="006038A4" w:rsidRDefault="00000000">
            <w:pPr>
              <w:keepNext/>
              <w:keepLines/>
              <w:spacing w:after="0" w:line="240" w:lineRule="auto"/>
            </w:pPr>
            <w:r>
              <w:rPr>
                <w:sz w:val="18"/>
              </w:rPr>
              <w:t>163</w:t>
            </w:r>
          </w:p>
        </w:tc>
        <w:tc>
          <w:tcPr>
            <w:tcW w:w="3180" w:type="dxa"/>
            <w:tcMar>
              <w:top w:w="0" w:type="dxa"/>
              <w:bottom w:w="0" w:type="dxa"/>
            </w:tcMar>
            <w:vAlign w:val="center"/>
          </w:tcPr>
          <w:p w14:paraId="765509BB" w14:textId="77777777" w:rsidR="006038A4"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376339D4" w14:textId="77777777" w:rsidR="006038A4" w:rsidRDefault="00000000">
            <w:pPr>
              <w:keepNext/>
              <w:keepLines/>
              <w:spacing w:after="0" w:line="240" w:lineRule="auto"/>
            </w:pPr>
            <w:r>
              <w:rPr>
                <w:sz w:val="18"/>
              </w:rPr>
              <w:t>163</w:t>
            </w:r>
          </w:p>
        </w:tc>
        <w:tc>
          <w:tcPr>
            <w:tcW w:w="1860" w:type="dxa"/>
            <w:tcMar>
              <w:top w:w="0" w:type="dxa"/>
              <w:bottom w:w="0" w:type="dxa"/>
            </w:tcMar>
            <w:vAlign w:val="center"/>
          </w:tcPr>
          <w:p w14:paraId="74AE4D42" w14:textId="77777777" w:rsidR="006038A4" w:rsidRDefault="00000000">
            <w:pPr>
              <w:keepNext/>
              <w:keepLines/>
              <w:spacing w:after="0" w:line="240" w:lineRule="auto"/>
              <w:jc w:val="right"/>
            </w:pPr>
            <w:r>
              <w:rPr>
                <w:sz w:val="18"/>
              </w:rPr>
              <w:t>26.252,25</w:t>
            </w:r>
          </w:p>
        </w:tc>
        <w:tc>
          <w:tcPr>
            <w:tcW w:w="1860" w:type="dxa"/>
            <w:tcMar>
              <w:top w:w="0" w:type="dxa"/>
              <w:bottom w:w="0" w:type="dxa"/>
            </w:tcMar>
            <w:vAlign w:val="center"/>
          </w:tcPr>
          <w:p w14:paraId="5DD6D59C" w14:textId="77777777" w:rsidR="006038A4" w:rsidRDefault="00000000">
            <w:pPr>
              <w:keepNext/>
              <w:keepLines/>
              <w:spacing w:after="0" w:line="240" w:lineRule="auto"/>
              <w:jc w:val="right"/>
            </w:pPr>
            <w:r>
              <w:rPr>
                <w:sz w:val="18"/>
              </w:rPr>
              <w:t>29.533,82</w:t>
            </w:r>
          </w:p>
        </w:tc>
        <w:tc>
          <w:tcPr>
            <w:tcW w:w="700" w:type="dxa"/>
            <w:tcMar>
              <w:top w:w="0" w:type="dxa"/>
              <w:bottom w:w="0" w:type="dxa"/>
            </w:tcMar>
            <w:vAlign w:val="center"/>
          </w:tcPr>
          <w:p w14:paraId="15CDAC99" w14:textId="77777777" w:rsidR="006038A4" w:rsidRDefault="00000000">
            <w:pPr>
              <w:keepNext/>
              <w:keepLines/>
              <w:spacing w:after="0" w:line="240" w:lineRule="auto"/>
              <w:jc w:val="right"/>
            </w:pPr>
            <w:r>
              <w:rPr>
                <w:sz w:val="18"/>
              </w:rPr>
              <w:t>112,5</w:t>
            </w:r>
          </w:p>
        </w:tc>
      </w:tr>
    </w:tbl>
    <w:p w14:paraId="0C86ACCE" w14:textId="77777777" w:rsidR="006038A4" w:rsidRDefault="006038A4">
      <w:pPr>
        <w:spacing w:after="0"/>
      </w:pPr>
    </w:p>
    <w:p w14:paraId="25A00B64" w14:textId="77777777" w:rsidR="006038A4" w:rsidRDefault="00000000">
      <w:r>
        <w:t>Bilježi se povećanje potraživanja za tekući projekt koji provodi JU Agencija za upravljanje zaštićenim prirodnim vrijednostima, na temelju poslanog Zahtjeva za nadoknadom sredstava projekt Restoring River Nesting Grounds, te se primitak sredstava očekuje u narednom razdobolju.</w:t>
      </w:r>
    </w:p>
    <w:p w14:paraId="07E1C9C8" w14:textId="77777777" w:rsidR="006038A4" w:rsidRDefault="006038A4"/>
    <w:p w14:paraId="7C06B7F2" w14:textId="77777777" w:rsidR="006038A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11EEE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CBCB42"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415EB2"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AA396"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291ED"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65022B"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1119FE" w14:textId="77777777" w:rsidR="006038A4" w:rsidRDefault="00000000">
            <w:pPr>
              <w:keepNext/>
              <w:keepLines/>
              <w:spacing w:after="0" w:line="240" w:lineRule="auto"/>
              <w:jc w:val="center"/>
            </w:pPr>
            <w:r>
              <w:rPr>
                <w:b/>
                <w:sz w:val="18"/>
              </w:rPr>
              <w:t>Indeks (%)</w:t>
            </w:r>
          </w:p>
        </w:tc>
      </w:tr>
      <w:tr w:rsidR="006038A4" w14:paraId="76CEB83D" w14:textId="77777777">
        <w:tblPrEx>
          <w:tblCellMar>
            <w:top w:w="0" w:type="dxa"/>
            <w:bottom w:w="0" w:type="dxa"/>
          </w:tblCellMar>
        </w:tblPrEx>
        <w:trPr>
          <w:cantSplit/>
          <w:trHeight w:val="560"/>
        </w:trPr>
        <w:tc>
          <w:tcPr>
            <w:tcW w:w="700" w:type="dxa"/>
            <w:tcMar>
              <w:top w:w="0" w:type="dxa"/>
              <w:bottom w:w="0" w:type="dxa"/>
            </w:tcMar>
            <w:vAlign w:val="center"/>
          </w:tcPr>
          <w:p w14:paraId="6AA14A90" w14:textId="77777777" w:rsidR="006038A4" w:rsidRDefault="00000000">
            <w:pPr>
              <w:keepNext/>
              <w:keepLines/>
              <w:spacing w:after="0" w:line="240" w:lineRule="auto"/>
            </w:pPr>
            <w:r>
              <w:rPr>
                <w:sz w:val="18"/>
              </w:rPr>
              <w:t>1632</w:t>
            </w:r>
          </w:p>
        </w:tc>
        <w:tc>
          <w:tcPr>
            <w:tcW w:w="3180" w:type="dxa"/>
            <w:tcMar>
              <w:top w:w="0" w:type="dxa"/>
              <w:bottom w:w="0" w:type="dxa"/>
            </w:tcMar>
            <w:vAlign w:val="center"/>
          </w:tcPr>
          <w:p w14:paraId="48B65E76" w14:textId="77777777" w:rsidR="006038A4" w:rsidRDefault="00000000">
            <w:pPr>
              <w:keepNext/>
              <w:keepLines/>
              <w:spacing w:after="0" w:line="240" w:lineRule="auto"/>
            </w:pPr>
            <w:r>
              <w:rPr>
                <w:sz w:val="18"/>
              </w:rPr>
              <w:t>Potraživanja za pomoći od međunarodnih organizacija te institucija i tijela EU</w:t>
            </w:r>
          </w:p>
        </w:tc>
        <w:tc>
          <w:tcPr>
            <w:tcW w:w="700" w:type="dxa"/>
            <w:tcMar>
              <w:top w:w="0" w:type="dxa"/>
              <w:bottom w:w="0" w:type="dxa"/>
            </w:tcMar>
            <w:vAlign w:val="center"/>
          </w:tcPr>
          <w:p w14:paraId="1752C124" w14:textId="77777777" w:rsidR="006038A4" w:rsidRDefault="00000000">
            <w:pPr>
              <w:keepNext/>
              <w:keepLines/>
              <w:spacing w:after="0" w:line="240" w:lineRule="auto"/>
            </w:pPr>
            <w:r>
              <w:rPr>
                <w:sz w:val="18"/>
              </w:rPr>
              <w:t>1632</w:t>
            </w:r>
          </w:p>
        </w:tc>
        <w:tc>
          <w:tcPr>
            <w:tcW w:w="1860" w:type="dxa"/>
            <w:tcMar>
              <w:top w:w="0" w:type="dxa"/>
              <w:bottom w:w="0" w:type="dxa"/>
            </w:tcMar>
            <w:vAlign w:val="center"/>
          </w:tcPr>
          <w:p w14:paraId="5CC8479C" w14:textId="77777777" w:rsidR="006038A4" w:rsidRDefault="00000000">
            <w:pPr>
              <w:keepNext/>
              <w:keepLines/>
              <w:spacing w:after="0" w:line="240" w:lineRule="auto"/>
              <w:jc w:val="right"/>
            </w:pPr>
            <w:r>
              <w:rPr>
                <w:sz w:val="18"/>
              </w:rPr>
              <w:t>26.252,25</w:t>
            </w:r>
          </w:p>
        </w:tc>
        <w:tc>
          <w:tcPr>
            <w:tcW w:w="1860" w:type="dxa"/>
            <w:tcMar>
              <w:top w:w="0" w:type="dxa"/>
              <w:bottom w:w="0" w:type="dxa"/>
            </w:tcMar>
            <w:vAlign w:val="center"/>
          </w:tcPr>
          <w:p w14:paraId="0A701B18" w14:textId="77777777" w:rsidR="006038A4" w:rsidRDefault="00000000">
            <w:pPr>
              <w:keepNext/>
              <w:keepLines/>
              <w:spacing w:after="0" w:line="240" w:lineRule="auto"/>
              <w:jc w:val="right"/>
            </w:pPr>
            <w:r>
              <w:rPr>
                <w:sz w:val="18"/>
              </w:rPr>
              <w:t>29.533,82</w:t>
            </w:r>
          </w:p>
        </w:tc>
        <w:tc>
          <w:tcPr>
            <w:tcW w:w="700" w:type="dxa"/>
            <w:tcMar>
              <w:top w:w="0" w:type="dxa"/>
              <w:bottom w:w="0" w:type="dxa"/>
            </w:tcMar>
            <w:vAlign w:val="center"/>
          </w:tcPr>
          <w:p w14:paraId="09CC1F05" w14:textId="77777777" w:rsidR="006038A4" w:rsidRDefault="00000000">
            <w:pPr>
              <w:keepNext/>
              <w:keepLines/>
              <w:spacing w:after="0" w:line="240" w:lineRule="auto"/>
              <w:jc w:val="right"/>
            </w:pPr>
            <w:r>
              <w:rPr>
                <w:sz w:val="18"/>
              </w:rPr>
              <w:t>112,5</w:t>
            </w:r>
          </w:p>
        </w:tc>
      </w:tr>
    </w:tbl>
    <w:p w14:paraId="737EE98D" w14:textId="77777777" w:rsidR="006038A4" w:rsidRDefault="006038A4">
      <w:pPr>
        <w:spacing w:after="0"/>
      </w:pPr>
    </w:p>
    <w:p w14:paraId="66D2CDEA" w14:textId="77777777" w:rsidR="006038A4" w:rsidRDefault="00000000">
      <w:r>
        <w:t>Bilježi se povećanje potraživanja za tekući projekt koji provodi JU Agencija za upravljanje zaštićenim prirodnim vrijednostima, na temelju poslanog Zahtjeva za nadoknadom sredstava projekt Restoring River Nesting Grounds, te se primitak sredstava očekuje u narednom razdobolju.</w:t>
      </w:r>
    </w:p>
    <w:p w14:paraId="4032886A" w14:textId="77777777" w:rsidR="006038A4" w:rsidRDefault="006038A4"/>
    <w:p w14:paraId="6DA80E64" w14:textId="77777777" w:rsidR="006038A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8E7F8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3D01E5"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7E99DD"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18DCD"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9B522"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76B404"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E4CF0C" w14:textId="77777777" w:rsidR="006038A4" w:rsidRDefault="00000000">
            <w:pPr>
              <w:keepNext/>
              <w:keepLines/>
              <w:spacing w:after="0" w:line="240" w:lineRule="auto"/>
              <w:jc w:val="center"/>
            </w:pPr>
            <w:r>
              <w:rPr>
                <w:b/>
                <w:sz w:val="18"/>
              </w:rPr>
              <w:t>Indeks (%)</w:t>
            </w:r>
          </w:p>
        </w:tc>
      </w:tr>
      <w:tr w:rsidR="006038A4" w14:paraId="0112050A" w14:textId="77777777">
        <w:tblPrEx>
          <w:tblCellMar>
            <w:top w:w="0" w:type="dxa"/>
            <w:bottom w:w="0" w:type="dxa"/>
          </w:tblCellMar>
        </w:tblPrEx>
        <w:trPr>
          <w:cantSplit/>
          <w:trHeight w:val="560"/>
        </w:trPr>
        <w:tc>
          <w:tcPr>
            <w:tcW w:w="700" w:type="dxa"/>
            <w:tcMar>
              <w:top w:w="0" w:type="dxa"/>
              <w:bottom w:w="0" w:type="dxa"/>
            </w:tcMar>
            <w:vAlign w:val="center"/>
          </w:tcPr>
          <w:p w14:paraId="462775CA" w14:textId="77777777" w:rsidR="006038A4" w:rsidRDefault="00000000">
            <w:pPr>
              <w:keepNext/>
              <w:keepLines/>
              <w:spacing w:after="0" w:line="240" w:lineRule="auto"/>
            </w:pPr>
            <w:r>
              <w:rPr>
                <w:sz w:val="18"/>
              </w:rPr>
              <w:t>167</w:t>
            </w:r>
          </w:p>
        </w:tc>
        <w:tc>
          <w:tcPr>
            <w:tcW w:w="3180" w:type="dxa"/>
            <w:tcMar>
              <w:top w:w="0" w:type="dxa"/>
              <w:bottom w:w="0" w:type="dxa"/>
            </w:tcMar>
            <w:vAlign w:val="center"/>
          </w:tcPr>
          <w:p w14:paraId="72DE91C2" w14:textId="77777777" w:rsidR="006038A4"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F8AB556" w14:textId="77777777" w:rsidR="006038A4" w:rsidRDefault="00000000">
            <w:pPr>
              <w:keepNext/>
              <w:keepLines/>
              <w:spacing w:after="0" w:line="240" w:lineRule="auto"/>
            </w:pPr>
            <w:r>
              <w:rPr>
                <w:sz w:val="18"/>
              </w:rPr>
              <w:t>167</w:t>
            </w:r>
          </w:p>
        </w:tc>
        <w:tc>
          <w:tcPr>
            <w:tcW w:w="1860" w:type="dxa"/>
            <w:tcMar>
              <w:top w:w="0" w:type="dxa"/>
              <w:bottom w:w="0" w:type="dxa"/>
            </w:tcMar>
            <w:vAlign w:val="center"/>
          </w:tcPr>
          <w:p w14:paraId="675B99CD" w14:textId="77777777" w:rsidR="006038A4" w:rsidRDefault="00000000">
            <w:pPr>
              <w:keepNext/>
              <w:keepLines/>
              <w:spacing w:after="0" w:line="240" w:lineRule="auto"/>
              <w:jc w:val="right"/>
            </w:pPr>
            <w:r>
              <w:rPr>
                <w:sz w:val="18"/>
              </w:rPr>
              <w:t>17.892,73</w:t>
            </w:r>
          </w:p>
        </w:tc>
        <w:tc>
          <w:tcPr>
            <w:tcW w:w="1860" w:type="dxa"/>
            <w:tcMar>
              <w:top w:w="0" w:type="dxa"/>
              <w:bottom w:w="0" w:type="dxa"/>
            </w:tcMar>
            <w:vAlign w:val="center"/>
          </w:tcPr>
          <w:p w14:paraId="40284D73" w14:textId="77777777" w:rsidR="006038A4" w:rsidRDefault="00000000">
            <w:pPr>
              <w:keepNext/>
              <w:keepLines/>
              <w:spacing w:after="0" w:line="240" w:lineRule="auto"/>
              <w:jc w:val="right"/>
            </w:pPr>
            <w:r>
              <w:rPr>
                <w:sz w:val="18"/>
              </w:rPr>
              <w:t>12.913,45</w:t>
            </w:r>
          </w:p>
        </w:tc>
        <w:tc>
          <w:tcPr>
            <w:tcW w:w="700" w:type="dxa"/>
            <w:tcMar>
              <w:top w:w="0" w:type="dxa"/>
              <w:bottom w:w="0" w:type="dxa"/>
            </w:tcMar>
            <w:vAlign w:val="center"/>
          </w:tcPr>
          <w:p w14:paraId="653017E8" w14:textId="77777777" w:rsidR="006038A4" w:rsidRDefault="00000000">
            <w:pPr>
              <w:keepNext/>
              <w:keepLines/>
              <w:spacing w:after="0" w:line="240" w:lineRule="auto"/>
              <w:jc w:val="right"/>
            </w:pPr>
            <w:r>
              <w:rPr>
                <w:sz w:val="18"/>
              </w:rPr>
              <w:t>72,2</w:t>
            </w:r>
          </w:p>
        </w:tc>
      </w:tr>
    </w:tbl>
    <w:p w14:paraId="2B57F75F" w14:textId="77777777" w:rsidR="006038A4" w:rsidRDefault="006038A4">
      <w:pPr>
        <w:spacing w:after="0"/>
      </w:pPr>
    </w:p>
    <w:p w14:paraId="68B9CDD4" w14:textId="77777777" w:rsidR="006038A4" w:rsidRDefault="00000000">
      <w:r>
        <w:t>Budući da Agencija posluje preko Riznice i nema svoj žiro račun, stanje sredstava vodi se na potraživanjima za prihode proračunskih korisnika uplaćene u proračun u iznosu od 12.913,45 €. Sredstava se odnose na osnovni kapital u iznosu od 5.308,91 € i  sredstava koja su  uplaćena po projektu Horizn Climempower koji je u cijelosti predfinanciran. </w:t>
      </w:r>
    </w:p>
    <w:p w14:paraId="3B1A2CF3" w14:textId="77777777" w:rsidR="006038A4" w:rsidRDefault="006038A4"/>
    <w:p w14:paraId="763B29DC" w14:textId="77777777" w:rsidR="006038A4"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65CC56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1D6FB"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6130F9"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0BFD5"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C467E"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5909C5"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D894AB" w14:textId="77777777" w:rsidR="006038A4" w:rsidRDefault="00000000">
            <w:pPr>
              <w:keepNext/>
              <w:keepLines/>
              <w:spacing w:after="0" w:line="240" w:lineRule="auto"/>
              <w:jc w:val="center"/>
            </w:pPr>
            <w:r>
              <w:rPr>
                <w:b/>
                <w:sz w:val="18"/>
              </w:rPr>
              <w:t>Indeks (%)</w:t>
            </w:r>
          </w:p>
        </w:tc>
      </w:tr>
      <w:tr w:rsidR="006038A4" w14:paraId="20371707" w14:textId="77777777">
        <w:tblPrEx>
          <w:tblCellMar>
            <w:top w:w="0" w:type="dxa"/>
            <w:bottom w:w="0" w:type="dxa"/>
          </w:tblCellMar>
        </w:tblPrEx>
        <w:trPr>
          <w:cantSplit/>
          <w:trHeight w:val="560"/>
        </w:trPr>
        <w:tc>
          <w:tcPr>
            <w:tcW w:w="700" w:type="dxa"/>
            <w:tcMar>
              <w:top w:w="0" w:type="dxa"/>
              <w:bottom w:w="0" w:type="dxa"/>
            </w:tcMar>
            <w:vAlign w:val="center"/>
          </w:tcPr>
          <w:p w14:paraId="6B238D7D" w14:textId="77777777" w:rsidR="006038A4" w:rsidRDefault="00000000">
            <w:pPr>
              <w:keepNext/>
              <w:keepLines/>
              <w:spacing w:after="0" w:line="240" w:lineRule="auto"/>
            </w:pPr>
            <w:r>
              <w:rPr>
                <w:sz w:val="18"/>
              </w:rPr>
              <w:t>231</w:t>
            </w:r>
          </w:p>
        </w:tc>
        <w:tc>
          <w:tcPr>
            <w:tcW w:w="3180" w:type="dxa"/>
            <w:tcMar>
              <w:top w:w="0" w:type="dxa"/>
              <w:bottom w:w="0" w:type="dxa"/>
            </w:tcMar>
            <w:vAlign w:val="center"/>
          </w:tcPr>
          <w:p w14:paraId="4DF7E70D" w14:textId="77777777" w:rsidR="006038A4" w:rsidRDefault="00000000">
            <w:pPr>
              <w:keepNext/>
              <w:keepLines/>
              <w:spacing w:after="0" w:line="240" w:lineRule="auto"/>
            </w:pPr>
            <w:r>
              <w:rPr>
                <w:sz w:val="18"/>
              </w:rPr>
              <w:t>Obveze za zaposlene</w:t>
            </w:r>
          </w:p>
        </w:tc>
        <w:tc>
          <w:tcPr>
            <w:tcW w:w="700" w:type="dxa"/>
            <w:tcMar>
              <w:top w:w="0" w:type="dxa"/>
              <w:bottom w:w="0" w:type="dxa"/>
            </w:tcMar>
            <w:vAlign w:val="center"/>
          </w:tcPr>
          <w:p w14:paraId="3A67B444" w14:textId="77777777" w:rsidR="006038A4" w:rsidRDefault="00000000">
            <w:pPr>
              <w:keepNext/>
              <w:keepLines/>
              <w:spacing w:after="0" w:line="240" w:lineRule="auto"/>
            </w:pPr>
            <w:r>
              <w:rPr>
                <w:sz w:val="18"/>
              </w:rPr>
              <w:t>231</w:t>
            </w:r>
          </w:p>
        </w:tc>
        <w:tc>
          <w:tcPr>
            <w:tcW w:w="1860" w:type="dxa"/>
            <w:tcMar>
              <w:top w:w="0" w:type="dxa"/>
              <w:bottom w:w="0" w:type="dxa"/>
            </w:tcMar>
            <w:vAlign w:val="center"/>
          </w:tcPr>
          <w:p w14:paraId="377B66AD" w14:textId="77777777" w:rsidR="006038A4" w:rsidRDefault="00000000">
            <w:pPr>
              <w:keepNext/>
              <w:keepLines/>
              <w:spacing w:after="0" w:line="240" w:lineRule="auto"/>
              <w:jc w:val="right"/>
            </w:pPr>
            <w:r>
              <w:rPr>
                <w:sz w:val="18"/>
              </w:rPr>
              <w:t>25.098,29</w:t>
            </w:r>
          </w:p>
        </w:tc>
        <w:tc>
          <w:tcPr>
            <w:tcW w:w="1860" w:type="dxa"/>
            <w:tcMar>
              <w:top w:w="0" w:type="dxa"/>
              <w:bottom w:w="0" w:type="dxa"/>
            </w:tcMar>
            <w:vAlign w:val="center"/>
          </w:tcPr>
          <w:p w14:paraId="141EC9C0" w14:textId="77777777" w:rsidR="006038A4" w:rsidRDefault="00000000">
            <w:pPr>
              <w:keepNext/>
              <w:keepLines/>
              <w:spacing w:after="0" w:line="240" w:lineRule="auto"/>
              <w:jc w:val="right"/>
            </w:pPr>
            <w:r>
              <w:rPr>
                <w:sz w:val="18"/>
              </w:rPr>
              <w:t>32.532,45</w:t>
            </w:r>
          </w:p>
        </w:tc>
        <w:tc>
          <w:tcPr>
            <w:tcW w:w="700" w:type="dxa"/>
            <w:tcMar>
              <w:top w:w="0" w:type="dxa"/>
              <w:bottom w:w="0" w:type="dxa"/>
            </w:tcMar>
            <w:vAlign w:val="center"/>
          </w:tcPr>
          <w:p w14:paraId="7C2E887D" w14:textId="77777777" w:rsidR="006038A4" w:rsidRDefault="00000000">
            <w:pPr>
              <w:keepNext/>
              <w:keepLines/>
              <w:spacing w:after="0" w:line="240" w:lineRule="auto"/>
              <w:jc w:val="right"/>
            </w:pPr>
            <w:r>
              <w:rPr>
                <w:sz w:val="18"/>
              </w:rPr>
              <w:t>129,6</w:t>
            </w:r>
          </w:p>
        </w:tc>
      </w:tr>
    </w:tbl>
    <w:p w14:paraId="7C7B2581" w14:textId="77777777" w:rsidR="006038A4" w:rsidRDefault="006038A4">
      <w:pPr>
        <w:spacing w:after="0"/>
      </w:pPr>
    </w:p>
    <w:p w14:paraId="1B5ACE63" w14:textId="77777777" w:rsidR="006038A4" w:rsidRDefault="00000000">
      <w:r>
        <w:t>Trošak obveze za zaposlene se povećao, zbog povećanja osnovice za obračun plaće za službenike i namještenike u upravnim tjelima Osječko-baranjske županije.</w:t>
      </w:r>
    </w:p>
    <w:p w14:paraId="05AC5DA5" w14:textId="77777777" w:rsidR="006038A4" w:rsidRDefault="006038A4"/>
    <w:p w14:paraId="409146D4" w14:textId="77777777" w:rsidR="006038A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49077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56FC39"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16DBF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08019"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3F06DC"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F72692"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8FAA98" w14:textId="77777777" w:rsidR="006038A4" w:rsidRDefault="00000000">
            <w:pPr>
              <w:keepNext/>
              <w:keepLines/>
              <w:spacing w:after="0" w:line="240" w:lineRule="auto"/>
              <w:jc w:val="center"/>
            </w:pPr>
            <w:r>
              <w:rPr>
                <w:b/>
                <w:sz w:val="18"/>
              </w:rPr>
              <w:t>Indeks (%)</w:t>
            </w:r>
          </w:p>
        </w:tc>
      </w:tr>
      <w:tr w:rsidR="006038A4" w14:paraId="1652A2F4" w14:textId="77777777">
        <w:tblPrEx>
          <w:tblCellMar>
            <w:top w:w="0" w:type="dxa"/>
            <w:bottom w:w="0" w:type="dxa"/>
          </w:tblCellMar>
        </w:tblPrEx>
        <w:trPr>
          <w:cantSplit/>
          <w:trHeight w:val="560"/>
        </w:trPr>
        <w:tc>
          <w:tcPr>
            <w:tcW w:w="700" w:type="dxa"/>
            <w:tcMar>
              <w:top w:w="0" w:type="dxa"/>
              <w:bottom w:w="0" w:type="dxa"/>
            </w:tcMar>
            <w:vAlign w:val="center"/>
          </w:tcPr>
          <w:p w14:paraId="353A4555" w14:textId="77777777" w:rsidR="006038A4" w:rsidRDefault="00000000">
            <w:pPr>
              <w:keepNext/>
              <w:keepLines/>
              <w:spacing w:after="0" w:line="240" w:lineRule="auto"/>
            </w:pPr>
            <w:r>
              <w:rPr>
                <w:sz w:val="18"/>
              </w:rPr>
              <w:t>232</w:t>
            </w:r>
          </w:p>
        </w:tc>
        <w:tc>
          <w:tcPr>
            <w:tcW w:w="3180" w:type="dxa"/>
            <w:tcMar>
              <w:top w:w="0" w:type="dxa"/>
              <w:bottom w:w="0" w:type="dxa"/>
            </w:tcMar>
            <w:vAlign w:val="center"/>
          </w:tcPr>
          <w:p w14:paraId="1782AB3E" w14:textId="77777777" w:rsidR="006038A4"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0AF02971" w14:textId="77777777" w:rsidR="006038A4" w:rsidRDefault="00000000">
            <w:pPr>
              <w:keepNext/>
              <w:keepLines/>
              <w:spacing w:after="0" w:line="240" w:lineRule="auto"/>
            </w:pPr>
            <w:r>
              <w:rPr>
                <w:sz w:val="18"/>
              </w:rPr>
              <w:t>232</w:t>
            </w:r>
          </w:p>
        </w:tc>
        <w:tc>
          <w:tcPr>
            <w:tcW w:w="1860" w:type="dxa"/>
            <w:tcMar>
              <w:top w:w="0" w:type="dxa"/>
              <w:bottom w:w="0" w:type="dxa"/>
            </w:tcMar>
            <w:vAlign w:val="center"/>
          </w:tcPr>
          <w:p w14:paraId="3A728534" w14:textId="77777777" w:rsidR="006038A4" w:rsidRDefault="00000000">
            <w:pPr>
              <w:keepNext/>
              <w:keepLines/>
              <w:spacing w:after="0" w:line="240" w:lineRule="auto"/>
              <w:jc w:val="right"/>
            </w:pPr>
            <w:r>
              <w:rPr>
                <w:sz w:val="18"/>
              </w:rPr>
              <w:t>2.792,13</w:t>
            </w:r>
          </w:p>
        </w:tc>
        <w:tc>
          <w:tcPr>
            <w:tcW w:w="1860" w:type="dxa"/>
            <w:tcMar>
              <w:top w:w="0" w:type="dxa"/>
              <w:bottom w:w="0" w:type="dxa"/>
            </w:tcMar>
            <w:vAlign w:val="center"/>
          </w:tcPr>
          <w:p w14:paraId="566CFBB9" w14:textId="77777777" w:rsidR="006038A4" w:rsidRDefault="00000000">
            <w:pPr>
              <w:keepNext/>
              <w:keepLines/>
              <w:spacing w:after="0" w:line="240" w:lineRule="auto"/>
              <w:jc w:val="right"/>
            </w:pPr>
            <w:r>
              <w:rPr>
                <w:sz w:val="18"/>
              </w:rPr>
              <w:t>2.656,72</w:t>
            </w:r>
          </w:p>
        </w:tc>
        <w:tc>
          <w:tcPr>
            <w:tcW w:w="700" w:type="dxa"/>
            <w:tcMar>
              <w:top w:w="0" w:type="dxa"/>
              <w:bottom w:w="0" w:type="dxa"/>
            </w:tcMar>
            <w:vAlign w:val="center"/>
          </w:tcPr>
          <w:p w14:paraId="2E01CE43" w14:textId="77777777" w:rsidR="006038A4" w:rsidRDefault="00000000">
            <w:pPr>
              <w:keepNext/>
              <w:keepLines/>
              <w:spacing w:after="0" w:line="240" w:lineRule="auto"/>
              <w:jc w:val="right"/>
            </w:pPr>
            <w:r>
              <w:rPr>
                <w:sz w:val="18"/>
              </w:rPr>
              <w:t>95,2</w:t>
            </w:r>
          </w:p>
        </w:tc>
      </w:tr>
    </w:tbl>
    <w:p w14:paraId="7B423078" w14:textId="77777777" w:rsidR="006038A4" w:rsidRDefault="006038A4">
      <w:pPr>
        <w:spacing w:after="0"/>
      </w:pPr>
    </w:p>
    <w:p w14:paraId="354A76E3" w14:textId="77777777" w:rsidR="006038A4" w:rsidRDefault="00000000">
      <w:r>
        <w:t>Troškovi za materijalne rashode ne bilježe znatno povećanje u odnosu na isto razdoblje 2024. godine.</w:t>
      </w:r>
    </w:p>
    <w:p w14:paraId="04BFAFB8" w14:textId="77777777" w:rsidR="006038A4" w:rsidRDefault="006038A4"/>
    <w:p w14:paraId="48C4E3BC" w14:textId="77777777" w:rsidR="006038A4"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0F583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617E7C"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3E370E"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D31663"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0EA902"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7691C9"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C3A09D" w14:textId="77777777" w:rsidR="006038A4" w:rsidRDefault="00000000">
            <w:pPr>
              <w:keepNext/>
              <w:keepLines/>
              <w:spacing w:after="0" w:line="240" w:lineRule="auto"/>
              <w:jc w:val="center"/>
            </w:pPr>
            <w:r>
              <w:rPr>
                <w:b/>
                <w:sz w:val="18"/>
              </w:rPr>
              <w:t>Indeks (%)</w:t>
            </w:r>
          </w:p>
        </w:tc>
      </w:tr>
      <w:tr w:rsidR="006038A4" w14:paraId="6BAF9807" w14:textId="77777777">
        <w:tblPrEx>
          <w:tblCellMar>
            <w:top w:w="0" w:type="dxa"/>
            <w:bottom w:w="0" w:type="dxa"/>
          </w:tblCellMar>
        </w:tblPrEx>
        <w:trPr>
          <w:cantSplit/>
          <w:trHeight w:val="560"/>
        </w:trPr>
        <w:tc>
          <w:tcPr>
            <w:tcW w:w="700" w:type="dxa"/>
            <w:tcMar>
              <w:top w:w="0" w:type="dxa"/>
              <w:bottom w:w="0" w:type="dxa"/>
            </w:tcMar>
            <w:vAlign w:val="center"/>
          </w:tcPr>
          <w:p w14:paraId="05C83E44" w14:textId="77777777" w:rsidR="006038A4" w:rsidRDefault="00000000">
            <w:pPr>
              <w:keepNext/>
              <w:keepLines/>
              <w:spacing w:after="0" w:line="240" w:lineRule="auto"/>
            </w:pPr>
            <w:r>
              <w:rPr>
                <w:sz w:val="18"/>
              </w:rPr>
              <w:t>239</w:t>
            </w:r>
          </w:p>
        </w:tc>
        <w:tc>
          <w:tcPr>
            <w:tcW w:w="3180" w:type="dxa"/>
            <w:tcMar>
              <w:top w:w="0" w:type="dxa"/>
              <w:bottom w:w="0" w:type="dxa"/>
            </w:tcMar>
            <w:vAlign w:val="center"/>
          </w:tcPr>
          <w:p w14:paraId="6E096AB3" w14:textId="77777777" w:rsidR="006038A4" w:rsidRDefault="00000000">
            <w:pPr>
              <w:keepNext/>
              <w:keepLines/>
              <w:spacing w:after="0" w:line="240" w:lineRule="auto"/>
            </w:pPr>
            <w:r>
              <w:rPr>
                <w:sz w:val="18"/>
              </w:rPr>
              <w:t>Ostale tekuće obveze</w:t>
            </w:r>
          </w:p>
        </w:tc>
        <w:tc>
          <w:tcPr>
            <w:tcW w:w="700" w:type="dxa"/>
            <w:tcMar>
              <w:top w:w="0" w:type="dxa"/>
              <w:bottom w:w="0" w:type="dxa"/>
            </w:tcMar>
            <w:vAlign w:val="center"/>
          </w:tcPr>
          <w:p w14:paraId="7A4F5779" w14:textId="77777777" w:rsidR="006038A4" w:rsidRDefault="00000000">
            <w:pPr>
              <w:keepNext/>
              <w:keepLines/>
              <w:spacing w:after="0" w:line="240" w:lineRule="auto"/>
            </w:pPr>
            <w:r>
              <w:rPr>
                <w:sz w:val="18"/>
              </w:rPr>
              <w:t>239</w:t>
            </w:r>
          </w:p>
        </w:tc>
        <w:tc>
          <w:tcPr>
            <w:tcW w:w="1860" w:type="dxa"/>
            <w:tcMar>
              <w:top w:w="0" w:type="dxa"/>
              <w:bottom w:w="0" w:type="dxa"/>
            </w:tcMar>
            <w:vAlign w:val="center"/>
          </w:tcPr>
          <w:p w14:paraId="50DBC64D" w14:textId="77777777" w:rsidR="006038A4" w:rsidRDefault="00000000">
            <w:pPr>
              <w:keepNext/>
              <w:keepLines/>
              <w:spacing w:after="0" w:line="240" w:lineRule="auto"/>
              <w:jc w:val="right"/>
            </w:pPr>
            <w:r>
              <w:rPr>
                <w:sz w:val="18"/>
              </w:rPr>
              <w:t>24.319,76</w:t>
            </w:r>
          </w:p>
        </w:tc>
        <w:tc>
          <w:tcPr>
            <w:tcW w:w="1860" w:type="dxa"/>
            <w:tcMar>
              <w:top w:w="0" w:type="dxa"/>
              <w:bottom w:w="0" w:type="dxa"/>
            </w:tcMar>
            <w:vAlign w:val="center"/>
          </w:tcPr>
          <w:p w14:paraId="1A534FDE"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092BAD9A" w14:textId="77777777" w:rsidR="006038A4" w:rsidRDefault="00000000">
            <w:pPr>
              <w:keepNext/>
              <w:keepLines/>
              <w:spacing w:after="0" w:line="240" w:lineRule="auto"/>
              <w:jc w:val="right"/>
            </w:pPr>
            <w:r>
              <w:rPr>
                <w:sz w:val="18"/>
              </w:rPr>
              <w:t>0</w:t>
            </w:r>
          </w:p>
        </w:tc>
      </w:tr>
    </w:tbl>
    <w:p w14:paraId="4A682F64" w14:textId="77777777" w:rsidR="006038A4" w:rsidRDefault="006038A4">
      <w:pPr>
        <w:spacing w:after="0"/>
      </w:pPr>
    </w:p>
    <w:p w14:paraId="19EEEA12" w14:textId="77777777" w:rsidR="006038A4" w:rsidRDefault="00000000">
      <w:r>
        <w:t>Bilježi se ukidanje evidencije na kontu 239  prijenos na konto 27.</w:t>
      </w:r>
    </w:p>
    <w:p w14:paraId="7D9666BD" w14:textId="77777777" w:rsidR="006038A4" w:rsidRDefault="006038A4"/>
    <w:p w14:paraId="0DF05554" w14:textId="77777777" w:rsidR="006038A4"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56FF68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623F2"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9DF019"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0F296"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370F95"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5D6540"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0222D6" w14:textId="77777777" w:rsidR="006038A4" w:rsidRDefault="00000000">
            <w:pPr>
              <w:keepNext/>
              <w:keepLines/>
              <w:spacing w:after="0" w:line="240" w:lineRule="auto"/>
              <w:jc w:val="center"/>
            </w:pPr>
            <w:r>
              <w:rPr>
                <w:b/>
                <w:sz w:val="18"/>
              </w:rPr>
              <w:t>Indeks (%)</w:t>
            </w:r>
          </w:p>
        </w:tc>
      </w:tr>
      <w:tr w:rsidR="006038A4" w14:paraId="5F850075" w14:textId="77777777">
        <w:tblPrEx>
          <w:tblCellMar>
            <w:top w:w="0" w:type="dxa"/>
            <w:bottom w:w="0" w:type="dxa"/>
          </w:tblCellMar>
        </w:tblPrEx>
        <w:trPr>
          <w:cantSplit/>
          <w:trHeight w:val="560"/>
        </w:trPr>
        <w:tc>
          <w:tcPr>
            <w:tcW w:w="700" w:type="dxa"/>
            <w:tcMar>
              <w:top w:w="0" w:type="dxa"/>
              <w:bottom w:w="0" w:type="dxa"/>
            </w:tcMar>
            <w:vAlign w:val="center"/>
          </w:tcPr>
          <w:p w14:paraId="1F4D3B21" w14:textId="77777777" w:rsidR="006038A4" w:rsidRDefault="00000000">
            <w:pPr>
              <w:keepNext/>
              <w:keepLines/>
              <w:spacing w:after="0" w:line="240" w:lineRule="auto"/>
            </w:pPr>
            <w:r>
              <w:rPr>
                <w:sz w:val="18"/>
              </w:rPr>
              <w:t>27</w:t>
            </w:r>
          </w:p>
        </w:tc>
        <w:tc>
          <w:tcPr>
            <w:tcW w:w="3180" w:type="dxa"/>
            <w:tcMar>
              <w:top w:w="0" w:type="dxa"/>
              <w:bottom w:w="0" w:type="dxa"/>
            </w:tcMar>
            <w:vAlign w:val="center"/>
          </w:tcPr>
          <w:p w14:paraId="70E22937" w14:textId="77777777" w:rsidR="006038A4"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F542715" w14:textId="77777777" w:rsidR="006038A4" w:rsidRDefault="00000000">
            <w:pPr>
              <w:keepNext/>
              <w:keepLines/>
              <w:spacing w:after="0" w:line="240" w:lineRule="auto"/>
            </w:pPr>
            <w:r>
              <w:rPr>
                <w:sz w:val="18"/>
              </w:rPr>
              <w:t>27</w:t>
            </w:r>
          </w:p>
        </w:tc>
        <w:tc>
          <w:tcPr>
            <w:tcW w:w="1860" w:type="dxa"/>
            <w:tcMar>
              <w:top w:w="0" w:type="dxa"/>
              <w:bottom w:w="0" w:type="dxa"/>
            </w:tcMar>
            <w:vAlign w:val="center"/>
          </w:tcPr>
          <w:p w14:paraId="4A6C0D19"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2E3F41F6" w14:textId="77777777" w:rsidR="006038A4" w:rsidRDefault="00000000">
            <w:pPr>
              <w:keepNext/>
              <w:keepLines/>
              <w:spacing w:after="0" w:line="240" w:lineRule="auto"/>
              <w:jc w:val="right"/>
            </w:pPr>
            <w:r>
              <w:rPr>
                <w:sz w:val="18"/>
              </w:rPr>
              <w:t>25.654,25</w:t>
            </w:r>
          </w:p>
        </w:tc>
        <w:tc>
          <w:tcPr>
            <w:tcW w:w="700" w:type="dxa"/>
            <w:tcMar>
              <w:top w:w="0" w:type="dxa"/>
              <w:bottom w:w="0" w:type="dxa"/>
            </w:tcMar>
            <w:vAlign w:val="center"/>
          </w:tcPr>
          <w:p w14:paraId="4BD257F4" w14:textId="77777777" w:rsidR="006038A4" w:rsidRDefault="00000000">
            <w:pPr>
              <w:keepNext/>
              <w:keepLines/>
              <w:spacing w:after="0" w:line="240" w:lineRule="auto"/>
              <w:jc w:val="right"/>
            </w:pPr>
            <w:r>
              <w:rPr>
                <w:sz w:val="18"/>
              </w:rPr>
              <w:t>-</w:t>
            </w:r>
          </w:p>
        </w:tc>
      </w:tr>
    </w:tbl>
    <w:p w14:paraId="0C6F7A06" w14:textId="77777777" w:rsidR="006038A4" w:rsidRDefault="006038A4">
      <w:pPr>
        <w:spacing w:after="0"/>
      </w:pPr>
    </w:p>
    <w:p w14:paraId="2BA8F2C6" w14:textId="77777777" w:rsidR="006038A4" w:rsidRDefault="00000000">
      <w:r>
        <w:t>Bilježi se prijenos sa konta 239 na konto 27, te se bilježi povećanje za obveze proračunskih korisnika za povrat u proračun. Jamstva za uredno ispunjenje ugovora su vraćena u 2025. godini.</w:t>
      </w:r>
    </w:p>
    <w:p w14:paraId="0B76716C" w14:textId="77777777" w:rsidR="006038A4" w:rsidRDefault="006038A4"/>
    <w:p w14:paraId="59E9E764" w14:textId="77777777" w:rsidR="006038A4"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6D8FB5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5ED924"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BD36E9"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F053CD"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B9A11"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E259AB"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96A048" w14:textId="77777777" w:rsidR="006038A4" w:rsidRDefault="00000000">
            <w:pPr>
              <w:keepNext/>
              <w:keepLines/>
              <w:spacing w:after="0" w:line="240" w:lineRule="auto"/>
              <w:jc w:val="center"/>
            </w:pPr>
            <w:r>
              <w:rPr>
                <w:b/>
                <w:sz w:val="18"/>
              </w:rPr>
              <w:t>Indeks (%)</w:t>
            </w:r>
          </w:p>
        </w:tc>
      </w:tr>
      <w:tr w:rsidR="006038A4" w14:paraId="213DF37D" w14:textId="77777777">
        <w:tblPrEx>
          <w:tblCellMar>
            <w:top w:w="0" w:type="dxa"/>
            <w:bottom w:w="0" w:type="dxa"/>
          </w:tblCellMar>
        </w:tblPrEx>
        <w:trPr>
          <w:cantSplit/>
          <w:trHeight w:val="560"/>
        </w:trPr>
        <w:tc>
          <w:tcPr>
            <w:tcW w:w="700" w:type="dxa"/>
            <w:tcMar>
              <w:top w:w="0" w:type="dxa"/>
              <w:bottom w:w="0" w:type="dxa"/>
            </w:tcMar>
            <w:vAlign w:val="center"/>
          </w:tcPr>
          <w:p w14:paraId="3D370F25" w14:textId="77777777" w:rsidR="006038A4" w:rsidRDefault="00000000">
            <w:pPr>
              <w:keepNext/>
              <w:keepLines/>
              <w:spacing w:after="0" w:line="240" w:lineRule="auto"/>
            </w:pPr>
            <w:r>
              <w:rPr>
                <w:sz w:val="18"/>
              </w:rPr>
              <w:t>92221</w:t>
            </w:r>
          </w:p>
        </w:tc>
        <w:tc>
          <w:tcPr>
            <w:tcW w:w="3180" w:type="dxa"/>
            <w:tcMar>
              <w:top w:w="0" w:type="dxa"/>
              <w:bottom w:w="0" w:type="dxa"/>
            </w:tcMar>
            <w:vAlign w:val="center"/>
          </w:tcPr>
          <w:p w14:paraId="044CC075" w14:textId="77777777" w:rsidR="006038A4" w:rsidRDefault="00000000">
            <w:pPr>
              <w:keepNext/>
              <w:keepLines/>
              <w:spacing w:after="0" w:line="240" w:lineRule="auto"/>
            </w:pPr>
            <w:r>
              <w:rPr>
                <w:sz w:val="18"/>
              </w:rPr>
              <w:t>Manjak prihoda poslovanja</w:t>
            </w:r>
          </w:p>
        </w:tc>
        <w:tc>
          <w:tcPr>
            <w:tcW w:w="700" w:type="dxa"/>
            <w:tcMar>
              <w:top w:w="0" w:type="dxa"/>
              <w:bottom w:w="0" w:type="dxa"/>
            </w:tcMar>
            <w:vAlign w:val="center"/>
          </w:tcPr>
          <w:p w14:paraId="0F7FFCF5" w14:textId="77777777" w:rsidR="006038A4" w:rsidRDefault="00000000">
            <w:pPr>
              <w:keepNext/>
              <w:keepLines/>
              <w:spacing w:after="0" w:line="240" w:lineRule="auto"/>
            </w:pPr>
            <w:r>
              <w:rPr>
                <w:sz w:val="18"/>
              </w:rPr>
              <w:t>92221</w:t>
            </w:r>
          </w:p>
        </w:tc>
        <w:tc>
          <w:tcPr>
            <w:tcW w:w="1860" w:type="dxa"/>
            <w:tcMar>
              <w:top w:w="0" w:type="dxa"/>
              <w:bottom w:w="0" w:type="dxa"/>
            </w:tcMar>
            <w:vAlign w:val="center"/>
          </w:tcPr>
          <w:p w14:paraId="3C17FC2D" w14:textId="77777777" w:rsidR="006038A4" w:rsidRDefault="00000000">
            <w:pPr>
              <w:keepNext/>
              <w:keepLines/>
              <w:spacing w:after="0" w:line="240" w:lineRule="auto"/>
              <w:jc w:val="right"/>
            </w:pPr>
            <w:r>
              <w:rPr>
                <w:sz w:val="18"/>
              </w:rPr>
              <w:t>39.577,22</w:t>
            </w:r>
          </w:p>
        </w:tc>
        <w:tc>
          <w:tcPr>
            <w:tcW w:w="1860" w:type="dxa"/>
            <w:tcMar>
              <w:top w:w="0" w:type="dxa"/>
              <w:bottom w:w="0" w:type="dxa"/>
            </w:tcMar>
            <w:vAlign w:val="center"/>
          </w:tcPr>
          <w:p w14:paraId="7F321486" w14:textId="77777777" w:rsidR="006038A4" w:rsidRDefault="00000000">
            <w:pPr>
              <w:keepNext/>
              <w:keepLines/>
              <w:spacing w:after="0" w:line="240" w:lineRule="auto"/>
              <w:jc w:val="right"/>
            </w:pPr>
            <w:r>
              <w:rPr>
                <w:sz w:val="18"/>
              </w:rPr>
              <w:t>53.238,88</w:t>
            </w:r>
          </w:p>
        </w:tc>
        <w:tc>
          <w:tcPr>
            <w:tcW w:w="700" w:type="dxa"/>
            <w:tcMar>
              <w:top w:w="0" w:type="dxa"/>
              <w:bottom w:w="0" w:type="dxa"/>
            </w:tcMar>
            <w:vAlign w:val="center"/>
          </w:tcPr>
          <w:p w14:paraId="3F4A5224" w14:textId="77777777" w:rsidR="006038A4" w:rsidRDefault="00000000">
            <w:pPr>
              <w:keepNext/>
              <w:keepLines/>
              <w:spacing w:after="0" w:line="240" w:lineRule="auto"/>
              <w:jc w:val="right"/>
            </w:pPr>
            <w:r>
              <w:rPr>
                <w:sz w:val="18"/>
              </w:rPr>
              <w:t>134,5</w:t>
            </w:r>
          </w:p>
        </w:tc>
      </w:tr>
    </w:tbl>
    <w:p w14:paraId="60B2D607" w14:textId="77777777" w:rsidR="006038A4" w:rsidRDefault="006038A4">
      <w:pPr>
        <w:spacing w:after="0"/>
      </w:pPr>
    </w:p>
    <w:p w14:paraId="47C9BFA8" w14:textId="77777777" w:rsidR="006038A4" w:rsidRDefault="00000000">
      <w:r>
        <w:t>Za JU Agenciju izvršena je obvezna korekcija rezultata poslovanja po istovrsnim kategorijama  propisana člankom 215. Pravilnika o proračunskom računovodstvu i Računskom planu. Utvrđen je manjak prihoda poslovanja koji se sastoji od metodološkog manjka, rashodi evidentirani u razdoblju na koji se odnose, a prihodi za njih će biti doznačeni u siječnju 2026. godine, i manjak za rashode iz projekta koji se trenutno provode te sredstva nisu još refundirana. Tekući manjak iznosi 13.661,66 €, a preneseni manjak iznosi 39.577,22 €.</w:t>
      </w:r>
    </w:p>
    <w:p w14:paraId="21CA6633" w14:textId="77777777" w:rsidR="006038A4" w:rsidRDefault="006038A4"/>
    <w:p w14:paraId="6CBF8805" w14:textId="77777777" w:rsidR="006038A4"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0BB0EF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20B53"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092B05"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43DAC"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EEE0B"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EC788"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B97456" w14:textId="77777777" w:rsidR="006038A4" w:rsidRDefault="00000000">
            <w:pPr>
              <w:keepNext/>
              <w:keepLines/>
              <w:spacing w:after="0" w:line="240" w:lineRule="auto"/>
              <w:jc w:val="center"/>
            </w:pPr>
            <w:r>
              <w:rPr>
                <w:b/>
                <w:sz w:val="18"/>
              </w:rPr>
              <w:t>Indeks (%)</w:t>
            </w:r>
          </w:p>
        </w:tc>
      </w:tr>
      <w:tr w:rsidR="006038A4" w14:paraId="182F901C" w14:textId="77777777">
        <w:tblPrEx>
          <w:tblCellMar>
            <w:top w:w="0" w:type="dxa"/>
            <w:bottom w:w="0" w:type="dxa"/>
          </w:tblCellMar>
        </w:tblPrEx>
        <w:trPr>
          <w:cantSplit/>
          <w:trHeight w:val="560"/>
        </w:trPr>
        <w:tc>
          <w:tcPr>
            <w:tcW w:w="700" w:type="dxa"/>
            <w:tcMar>
              <w:top w:w="0" w:type="dxa"/>
              <w:bottom w:w="0" w:type="dxa"/>
            </w:tcMar>
            <w:vAlign w:val="center"/>
          </w:tcPr>
          <w:p w14:paraId="1DDF9B79" w14:textId="77777777" w:rsidR="006038A4" w:rsidRDefault="00000000">
            <w:pPr>
              <w:keepNext/>
              <w:keepLines/>
              <w:spacing w:after="0" w:line="240" w:lineRule="auto"/>
            </w:pPr>
            <w:r>
              <w:rPr>
                <w:sz w:val="18"/>
              </w:rPr>
              <w:t>96</w:t>
            </w:r>
          </w:p>
        </w:tc>
        <w:tc>
          <w:tcPr>
            <w:tcW w:w="3180" w:type="dxa"/>
            <w:tcMar>
              <w:top w:w="0" w:type="dxa"/>
              <w:bottom w:w="0" w:type="dxa"/>
            </w:tcMar>
            <w:vAlign w:val="center"/>
          </w:tcPr>
          <w:p w14:paraId="265C325F" w14:textId="77777777" w:rsidR="006038A4"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A052FF1" w14:textId="77777777" w:rsidR="006038A4" w:rsidRDefault="00000000">
            <w:pPr>
              <w:keepNext/>
              <w:keepLines/>
              <w:spacing w:after="0" w:line="240" w:lineRule="auto"/>
            </w:pPr>
            <w:r>
              <w:rPr>
                <w:sz w:val="18"/>
              </w:rPr>
              <w:t>96</w:t>
            </w:r>
          </w:p>
        </w:tc>
        <w:tc>
          <w:tcPr>
            <w:tcW w:w="1860" w:type="dxa"/>
            <w:tcMar>
              <w:top w:w="0" w:type="dxa"/>
              <w:bottom w:w="0" w:type="dxa"/>
            </w:tcMar>
            <w:vAlign w:val="center"/>
          </w:tcPr>
          <w:p w14:paraId="740D0AB0" w14:textId="77777777" w:rsidR="006038A4" w:rsidRDefault="00000000">
            <w:pPr>
              <w:keepNext/>
              <w:keepLines/>
              <w:spacing w:after="0" w:line="240" w:lineRule="auto"/>
              <w:jc w:val="right"/>
            </w:pPr>
            <w:r>
              <w:rPr>
                <w:sz w:val="18"/>
              </w:rPr>
              <w:t>26.252,25</w:t>
            </w:r>
          </w:p>
        </w:tc>
        <w:tc>
          <w:tcPr>
            <w:tcW w:w="1860" w:type="dxa"/>
            <w:tcMar>
              <w:top w:w="0" w:type="dxa"/>
              <w:bottom w:w="0" w:type="dxa"/>
            </w:tcMar>
            <w:vAlign w:val="center"/>
          </w:tcPr>
          <w:p w14:paraId="335FEF7C" w14:textId="77777777" w:rsidR="006038A4" w:rsidRDefault="00000000">
            <w:pPr>
              <w:keepNext/>
              <w:keepLines/>
              <w:spacing w:after="0" w:line="240" w:lineRule="auto"/>
              <w:jc w:val="right"/>
            </w:pPr>
            <w:r>
              <w:rPr>
                <w:sz w:val="18"/>
              </w:rPr>
              <w:t>29.533,82</w:t>
            </w:r>
          </w:p>
        </w:tc>
        <w:tc>
          <w:tcPr>
            <w:tcW w:w="700" w:type="dxa"/>
            <w:tcMar>
              <w:top w:w="0" w:type="dxa"/>
              <w:bottom w:w="0" w:type="dxa"/>
            </w:tcMar>
            <w:vAlign w:val="center"/>
          </w:tcPr>
          <w:p w14:paraId="0273311B" w14:textId="77777777" w:rsidR="006038A4" w:rsidRDefault="00000000">
            <w:pPr>
              <w:keepNext/>
              <w:keepLines/>
              <w:spacing w:after="0" w:line="240" w:lineRule="auto"/>
              <w:jc w:val="right"/>
            </w:pPr>
            <w:r>
              <w:rPr>
                <w:sz w:val="18"/>
              </w:rPr>
              <w:t>112,5</w:t>
            </w:r>
          </w:p>
        </w:tc>
      </w:tr>
    </w:tbl>
    <w:p w14:paraId="73B83798" w14:textId="77777777" w:rsidR="006038A4" w:rsidRDefault="006038A4">
      <w:pPr>
        <w:spacing w:after="0"/>
      </w:pPr>
    </w:p>
    <w:p w14:paraId="7D39C69D" w14:textId="77777777" w:rsidR="006038A4" w:rsidRDefault="00000000">
      <w:r>
        <w:t>Obračunati prihodi poslovanja je povezan s kontom 1632.</w:t>
      </w:r>
    </w:p>
    <w:p w14:paraId="2C8573BE" w14:textId="77777777" w:rsidR="006038A4" w:rsidRDefault="006038A4"/>
    <w:p w14:paraId="16B5F97F" w14:textId="77777777" w:rsidR="006038A4"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1E7B0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313CD3"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F753A1"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00D53"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BE7B8" w14:textId="77777777" w:rsidR="006038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954B06" w14:textId="77777777" w:rsidR="006038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6BDC1A" w14:textId="77777777" w:rsidR="006038A4" w:rsidRDefault="00000000">
            <w:pPr>
              <w:keepNext/>
              <w:keepLines/>
              <w:spacing w:after="0" w:line="240" w:lineRule="auto"/>
              <w:jc w:val="center"/>
            </w:pPr>
            <w:r>
              <w:rPr>
                <w:b/>
                <w:sz w:val="18"/>
              </w:rPr>
              <w:t>Indeks (%)</w:t>
            </w:r>
          </w:p>
        </w:tc>
      </w:tr>
      <w:tr w:rsidR="006038A4" w14:paraId="0FE3F2F7" w14:textId="77777777">
        <w:tblPrEx>
          <w:tblCellMar>
            <w:top w:w="0" w:type="dxa"/>
            <w:bottom w:w="0" w:type="dxa"/>
          </w:tblCellMar>
        </w:tblPrEx>
        <w:trPr>
          <w:cantSplit/>
          <w:trHeight w:val="560"/>
        </w:trPr>
        <w:tc>
          <w:tcPr>
            <w:tcW w:w="700" w:type="dxa"/>
            <w:tcMar>
              <w:top w:w="0" w:type="dxa"/>
              <w:bottom w:w="0" w:type="dxa"/>
            </w:tcMar>
            <w:vAlign w:val="center"/>
          </w:tcPr>
          <w:p w14:paraId="0074B7C1" w14:textId="77777777" w:rsidR="006038A4" w:rsidRDefault="00000000">
            <w:pPr>
              <w:keepNext/>
              <w:keepLines/>
              <w:spacing w:after="0" w:line="240" w:lineRule="auto"/>
            </w:pPr>
            <w:r>
              <w:rPr>
                <w:sz w:val="18"/>
              </w:rPr>
              <w:t>996</w:t>
            </w:r>
          </w:p>
        </w:tc>
        <w:tc>
          <w:tcPr>
            <w:tcW w:w="3180" w:type="dxa"/>
            <w:tcMar>
              <w:top w:w="0" w:type="dxa"/>
              <w:bottom w:w="0" w:type="dxa"/>
            </w:tcMar>
            <w:vAlign w:val="center"/>
          </w:tcPr>
          <w:p w14:paraId="18BA2036" w14:textId="77777777" w:rsidR="006038A4"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37727AD4" w14:textId="77777777" w:rsidR="006038A4" w:rsidRDefault="00000000">
            <w:pPr>
              <w:keepNext/>
              <w:keepLines/>
              <w:spacing w:after="0" w:line="240" w:lineRule="auto"/>
            </w:pPr>
            <w:r>
              <w:rPr>
                <w:sz w:val="18"/>
              </w:rPr>
              <w:t>996</w:t>
            </w:r>
          </w:p>
        </w:tc>
        <w:tc>
          <w:tcPr>
            <w:tcW w:w="1860" w:type="dxa"/>
            <w:tcMar>
              <w:top w:w="0" w:type="dxa"/>
              <w:bottom w:w="0" w:type="dxa"/>
            </w:tcMar>
            <w:vAlign w:val="center"/>
          </w:tcPr>
          <w:p w14:paraId="3DDEF9BC" w14:textId="77777777" w:rsidR="006038A4" w:rsidRDefault="00000000">
            <w:pPr>
              <w:keepNext/>
              <w:keepLines/>
              <w:spacing w:after="0" w:line="240" w:lineRule="auto"/>
              <w:jc w:val="right"/>
            </w:pPr>
            <w:r>
              <w:rPr>
                <w:sz w:val="18"/>
              </w:rPr>
              <w:t>6.382,62</w:t>
            </w:r>
          </w:p>
        </w:tc>
        <w:tc>
          <w:tcPr>
            <w:tcW w:w="1860" w:type="dxa"/>
            <w:tcMar>
              <w:top w:w="0" w:type="dxa"/>
              <w:bottom w:w="0" w:type="dxa"/>
            </w:tcMar>
            <w:vAlign w:val="center"/>
          </w:tcPr>
          <w:p w14:paraId="2E1F73DF" w14:textId="77777777" w:rsidR="006038A4" w:rsidRDefault="00000000">
            <w:pPr>
              <w:keepNext/>
              <w:keepLines/>
              <w:spacing w:after="0" w:line="240" w:lineRule="auto"/>
              <w:jc w:val="right"/>
            </w:pPr>
            <w:r>
              <w:rPr>
                <w:sz w:val="18"/>
              </w:rPr>
              <w:t>46.960,02</w:t>
            </w:r>
          </w:p>
        </w:tc>
        <w:tc>
          <w:tcPr>
            <w:tcW w:w="700" w:type="dxa"/>
            <w:tcMar>
              <w:top w:w="0" w:type="dxa"/>
              <w:bottom w:w="0" w:type="dxa"/>
            </w:tcMar>
            <w:vAlign w:val="center"/>
          </w:tcPr>
          <w:p w14:paraId="07ACEBEF" w14:textId="77777777" w:rsidR="006038A4" w:rsidRDefault="00000000">
            <w:pPr>
              <w:keepNext/>
              <w:keepLines/>
              <w:spacing w:after="0" w:line="240" w:lineRule="auto"/>
              <w:jc w:val="right"/>
            </w:pPr>
            <w:r>
              <w:rPr>
                <w:sz w:val="18"/>
              </w:rPr>
              <w:t>735,7</w:t>
            </w:r>
          </w:p>
        </w:tc>
      </w:tr>
    </w:tbl>
    <w:p w14:paraId="36EC979E" w14:textId="77777777" w:rsidR="006038A4" w:rsidRDefault="006038A4">
      <w:pPr>
        <w:spacing w:after="0"/>
      </w:pPr>
    </w:p>
    <w:p w14:paraId="2D81507B" w14:textId="77777777" w:rsidR="006038A4" w:rsidRDefault="00000000">
      <w:r>
        <w:t>Bilježi se povećanje izvanbilančnih zapisa, za potencijalne obveze po osnovi sudskih sporova za upravni postupak koji je pokrenut, za potraživanja po ugovorima o dodjeljenim bespovratnim sredstvima iz EU fondova, potraživanja po preuzetim ugovorima te tuđa imovina dobivena na korištenje.</w:t>
      </w:r>
    </w:p>
    <w:p w14:paraId="54F94E7B" w14:textId="77777777" w:rsidR="006038A4" w:rsidRDefault="006038A4"/>
    <w:p w14:paraId="7B44AFAE" w14:textId="77777777" w:rsidR="006038A4" w:rsidRDefault="00000000">
      <w:pPr>
        <w:keepNext/>
        <w:spacing w:line="240" w:lineRule="auto"/>
        <w:jc w:val="center"/>
      </w:pPr>
      <w:r>
        <w:rPr>
          <w:b/>
          <w:sz w:val="28"/>
        </w:rPr>
        <w:lastRenderedPageBreak/>
        <w:t>Izvještaj o rashodima prema funkcijskoj klasifikaciji</w:t>
      </w:r>
    </w:p>
    <w:p w14:paraId="15148EBD" w14:textId="77777777" w:rsidR="006038A4"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76BAB6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B4AB1F"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15A286"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8B57C"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748D6" w14:textId="77777777" w:rsidR="006038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221E12" w14:textId="77777777" w:rsidR="006038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E87AC5" w14:textId="77777777" w:rsidR="006038A4" w:rsidRDefault="00000000">
            <w:pPr>
              <w:keepNext/>
              <w:keepLines/>
              <w:spacing w:after="0" w:line="240" w:lineRule="auto"/>
              <w:jc w:val="center"/>
            </w:pPr>
            <w:r>
              <w:rPr>
                <w:b/>
                <w:sz w:val="18"/>
              </w:rPr>
              <w:t>Indeks (%)</w:t>
            </w:r>
          </w:p>
        </w:tc>
      </w:tr>
      <w:tr w:rsidR="006038A4" w14:paraId="04240EEF" w14:textId="77777777">
        <w:tblPrEx>
          <w:tblCellMar>
            <w:top w:w="0" w:type="dxa"/>
            <w:bottom w:w="0" w:type="dxa"/>
          </w:tblCellMar>
        </w:tblPrEx>
        <w:trPr>
          <w:cantSplit/>
          <w:trHeight w:val="560"/>
        </w:trPr>
        <w:tc>
          <w:tcPr>
            <w:tcW w:w="700" w:type="dxa"/>
            <w:tcMar>
              <w:top w:w="0" w:type="dxa"/>
              <w:bottom w:w="0" w:type="dxa"/>
            </w:tcMar>
            <w:vAlign w:val="center"/>
          </w:tcPr>
          <w:p w14:paraId="73F54BC9" w14:textId="77777777" w:rsidR="006038A4" w:rsidRDefault="00000000">
            <w:pPr>
              <w:keepNext/>
              <w:keepLines/>
              <w:spacing w:after="0" w:line="240" w:lineRule="auto"/>
            </w:pPr>
            <w:r>
              <w:rPr>
                <w:sz w:val="18"/>
              </w:rPr>
              <w:t>054</w:t>
            </w:r>
          </w:p>
        </w:tc>
        <w:tc>
          <w:tcPr>
            <w:tcW w:w="3180" w:type="dxa"/>
            <w:tcMar>
              <w:top w:w="0" w:type="dxa"/>
              <w:bottom w:w="0" w:type="dxa"/>
            </w:tcMar>
            <w:vAlign w:val="center"/>
          </w:tcPr>
          <w:p w14:paraId="24695648" w14:textId="77777777" w:rsidR="006038A4" w:rsidRDefault="00000000">
            <w:pPr>
              <w:keepNext/>
              <w:keepLines/>
              <w:spacing w:after="0" w:line="240" w:lineRule="auto"/>
            </w:pPr>
            <w:r>
              <w:rPr>
                <w:sz w:val="18"/>
              </w:rPr>
              <w:t>Zaštita bioraznolikosti i krajolika</w:t>
            </w:r>
          </w:p>
        </w:tc>
        <w:tc>
          <w:tcPr>
            <w:tcW w:w="700" w:type="dxa"/>
            <w:tcMar>
              <w:top w:w="0" w:type="dxa"/>
              <w:bottom w:w="0" w:type="dxa"/>
            </w:tcMar>
            <w:vAlign w:val="center"/>
          </w:tcPr>
          <w:p w14:paraId="781FD029" w14:textId="77777777" w:rsidR="006038A4" w:rsidRDefault="00000000">
            <w:pPr>
              <w:keepNext/>
              <w:keepLines/>
              <w:spacing w:after="0" w:line="240" w:lineRule="auto"/>
            </w:pPr>
            <w:r>
              <w:rPr>
                <w:sz w:val="18"/>
              </w:rPr>
              <w:t>054</w:t>
            </w:r>
          </w:p>
        </w:tc>
        <w:tc>
          <w:tcPr>
            <w:tcW w:w="1860" w:type="dxa"/>
            <w:tcMar>
              <w:top w:w="0" w:type="dxa"/>
              <w:bottom w:w="0" w:type="dxa"/>
            </w:tcMar>
            <w:vAlign w:val="center"/>
          </w:tcPr>
          <w:p w14:paraId="7781A416" w14:textId="77777777" w:rsidR="006038A4" w:rsidRDefault="00000000">
            <w:pPr>
              <w:keepNext/>
              <w:keepLines/>
              <w:spacing w:after="0" w:line="240" w:lineRule="auto"/>
              <w:jc w:val="right"/>
            </w:pPr>
            <w:r>
              <w:rPr>
                <w:sz w:val="18"/>
              </w:rPr>
              <w:t>470.787,85</w:t>
            </w:r>
          </w:p>
        </w:tc>
        <w:tc>
          <w:tcPr>
            <w:tcW w:w="1860" w:type="dxa"/>
            <w:tcMar>
              <w:top w:w="0" w:type="dxa"/>
              <w:bottom w:w="0" w:type="dxa"/>
            </w:tcMar>
            <w:vAlign w:val="center"/>
          </w:tcPr>
          <w:p w14:paraId="4380CF1C" w14:textId="77777777" w:rsidR="006038A4" w:rsidRDefault="00000000">
            <w:pPr>
              <w:keepNext/>
              <w:keepLines/>
              <w:spacing w:after="0" w:line="240" w:lineRule="auto"/>
              <w:jc w:val="right"/>
            </w:pPr>
            <w:r>
              <w:rPr>
                <w:sz w:val="18"/>
              </w:rPr>
              <w:t>597.563,17</w:t>
            </w:r>
          </w:p>
        </w:tc>
        <w:tc>
          <w:tcPr>
            <w:tcW w:w="700" w:type="dxa"/>
            <w:tcMar>
              <w:top w:w="0" w:type="dxa"/>
              <w:bottom w:w="0" w:type="dxa"/>
            </w:tcMar>
            <w:vAlign w:val="center"/>
          </w:tcPr>
          <w:p w14:paraId="3F964D66" w14:textId="77777777" w:rsidR="006038A4" w:rsidRDefault="00000000">
            <w:pPr>
              <w:keepNext/>
              <w:keepLines/>
              <w:spacing w:after="0" w:line="240" w:lineRule="auto"/>
              <w:jc w:val="right"/>
            </w:pPr>
            <w:r>
              <w:rPr>
                <w:sz w:val="18"/>
              </w:rPr>
              <w:t>126,9</w:t>
            </w:r>
          </w:p>
        </w:tc>
      </w:tr>
    </w:tbl>
    <w:p w14:paraId="765DA83C" w14:textId="77777777" w:rsidR="006038A4" w:rsidRDefault="006038A4">
      <w:pPr>
        <w:spacing w:after="0"/>
      </w:pPr>
    </w:p>
    <w:p w14:paraId="020BF598" w14:textId="77777777" w:rsidR="006038A4" w:rsidRDefault="00000000">
      <w:r>
        <w:t>Ukupni rashodi za Javnu ustanovu su 597.563,17 € (rashodi poslovanja 597.563,03 i rashodi za nabavu nefinancijske imovine 0,14 €) </w:t>
      </w:r>
    </w:p>
    <w:p w14:paraId="1FD97BFF" w14:textId="77777777" w:rsidR="006038A4" w:rsidRDefault="006038A4"/>
    <w:p w14:paraId="7576ACD1" w14:textId="77777777" w:rsidR="006038A4" w:rsidRDefault="00000000">
      <w:pPr>
        <w:keepNext/>
        <w:spacing w:line="240" w:lineRule="auto"/>
        <w:jc w:val="center"/>
      </w:pPr>
      <w:r>
        <w:rPr>
          <w:b/>
          <w:sz w:val="28"/>
        </w:rPr>
        <w:t>Promjene u vrijednosti i obujmu imovine i obveza</w:t>
      </w:r>
    </w:p>
    <w:p w14:paraId="64D0D432" w14:textId="77777777" w:rsidR="006038A4"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19B895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696F2F"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DB42ED"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A36AAB"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40039A" w14:textId="77777777" w:rsidR="006038A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DD710EC" w14:textId="77777777" w:rsidR="006038A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EB10FD0" w14:textId="77777777" w:rsidR="006038A4" w:rsidRDefault="00000000">
            <w:pPr>
              <w:keepNext/>
              <w:keepLines/>
              <w:spacing w:after="0" w:line="240" w:lineRule="auto"/>
              <w:jc w:val="center"/>
            </w:pPr>
            <w:r>
              <w:rPr>
                <w:b/>
                <w:sz w:val="18"/>
              </w:rPr>
              <w:t>Indeks (%)</w:t>
            </w:r>
          </w:p>
        </w:tc>
      </w:tr>
      <w:tr w:rsidR="006038A4" w14:paraId="16F19A96" w14:textId="77777777">
        <w:tblPrEx>
          <w:tblCellMar>
            <w:top w:w="0" w:type="dxa"/>
            <w:bottom w:w="0" w:type="dxa"/>
          </w:tblCellMar>
        </w:tblPrEx>
        <w:trPr>
          <w:cantSplit/>
          <w:trHeight w:val="560"/>
        </w:trPr>
        <w:tc>
          <w:tcPr>
            <w:tcW w:w="700" w:type="dxa"/>
            <w:tcMar>
              <w:top w:w="0" w:type="dxa"/>
              <w:bottom w:w="0" w:type="dxa"/>
            </w:tcMar>
            <w:vAlign w:val="center"/>
          </w:tcPr>
          <w:p w14:paraId="595C6636" w14:textId="77777777" w:rsidR="006038A4" w:rsidRDefault="006038A4">
            <w:pPr>
              <w:keepNext/>
              <w:keepLines/>
              <w:spacing w:after="0" w:line="240" w:lineRule="auto"/>
            </w:pPr>
          </w:p>
        </w:tc>
        <w:tc>
          <w:tcPr>
            <w:tcW w:w="3180" w:type="dxa"/>
            <w:tcMar>
              <w:top w:w="0" w:type="dxa"/>
              <w:bottom w:w="0" w:type="dxa"/>
            </w:tcMar>
            <w:vAlign w:val="center"/>
          </w:tcPr>
          <w:p w14:paraId="48C9F989" w14:textId="77777777" w:rsidR="006038A4"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0776E765" w14:textId="77777777" w:rsidR="006038A4" w:rsidRDefault="00000000">
            <w:pPr>
              <w:keepNext/>
              <w:keepLines/>
              <w:spacing w:after="0" w:line="240" w:lineRule="auto"/>
            </w:pPr>
            <w:r>
              <w:rPr>
                <w:sz w:val="18"/>
              </w:rPr>
              <w:t>P003</w:t>
            </w:r>
          </w:p>
        </w:tc>
        <w:tc>
          <w:tcPr>
            <w:tcW w:w="1860" w:type="dxa"/>
            <w:tcMar>
              <w:top w:w="0" w:type="dxa"/>
              <w:bottom w:w="0" w:type="dxa"/>
            </w:tcMar>
            <w:vAlign w:val="center"/>
          </w:tcPr>
          <w:p w14:paraId="7797D35F"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1694E0DF" w14:textId="77777777" w:rsidR="006038A4" w:rsidRDefault="00000000">
            <w:pPr>
              <w:keepNext/>
              <w:keepLines/>
              <w:spacing w:after="0" w:line="240" w:lineRule="auto"/>
              <w:jc w:val="right"/>
            </w:pPr>
            <w:r>
              <w:rPr>
                <w:sz w:val="18"/>
              </w:rPr>
              <w:t>32.251,00</w:t>
            </w:r>
          </w:p>
        </w:tc>
        <w:tc>
          <w:tcPr>
            <w:tcW w:w="700" w:type="dxa"/>
            <w:tcMar>
              <w:top w:w="0" w:type="dxa"/>
              <w:bottom w:w="0" w:type="dxa"/>
            </w:tcMar>
            <w:vAlign w:val="center"/>
          </w:tcPr>
          <w:p w14:paraId="68837A24" w14:textId="77777777" w:rsidR="006038A4" w:rsidRDefault="00000000">
            <w:pPr>
              <w:keepNext/>
              <w:keepLines/>
              <w:spacing w:after="0" w:line="240" w:lineRule="auto"/>
              <w:jc w:val="right"/>
            </w:pPr>
            <w:r>
              <w:rPr>
                <w:sz w:val="18"/>
              </w:rPr>
              <w:t>-</w:t>
            </w:r>
          </w:p>
        </w:tc>
      </w:tr>
    </w:tbl>
    <w:p w14:paraId="4DC4285C" w14:textId="77777777" w:rsidR="006038A4" w:rsidRDefault="006038A4">
      <w:pPr>
        <w:spacing w:after="0"/>
      </w:pPr>
    </w:p>
    <w:p w14:paraId="794D3047" w14:textId="77777777" w:rsidR="006038A4" w:rsidRDefault="00000000">
      <w:r>
        <w:t>Bilježi se smanjenje u vrijednosti imovine za iznos ukupnog ispravaka vrijednosti imovine 2025. godine u iznosu od 31.828,48 € i  rashodovane imovine u iznosu od 422,52 €.</w:t>
      </w:r>
    </w:p>
    <w:p w14:paraId="21421259" w14:textId="77777777" w:rsidR="006038A4" w:rsidRDefault="006038A4"/>
    <w:p w14:paraId="7EC6B23A" w14:textId="77777777" w:rsidR="006038A4"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038A4" w14:paraId="21336D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B0495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FB5D03"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2C08F8"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60D381" w14:textId="77777777" w:rsidR="006038A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79EEBA7" w14:textId="77777777" w:rsidR="006038A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6C3662B" w14:textId="77777777" w:rsidR="006038A4" w:rsidRDefault="00000000">
            <w:pPr>
              <w:keepNext/>
              <w:keepLines/>
              <w:spacing w:after="0" w:line="240" w:lineRule="auto"/>
              <w:jc w:val="center"/>
            </w:pPr>
            <w:r>
              <w:rPr>
                <w:b/>
                <w:sz w:val="18"/>
              </w:rPr>
              <w:t>Indeks (%)</w:t>
            </w:r>
          </w:p>
        </w:tc>
      </w:tr>
      <w:tr w:rsidR="006038A4" w14:paraId="29DC94DD" w14:textId="77777777">
        <w:tblPrEx>
          <w:tblCellMar>
            <w:top w:w="0" w:type="dxa"/>
            <w:bottom w:w="0" w:type="dxa"/>
          </w:tblCellMar>
        </w:tblPrEx>
        <w:trPr>
          <w:cantSplit/>
          <w:trHeight w:val="560"/>
        </w:trPr>
        <w:tc>
          <w:tcPr>
            <w:tcW w:w="700" w:type="dxa"/>
            <w:tcMar>
              <w:top w:w="0" w:type="dxa"/>
              <w:bottom w:w="0" w:type="dxa"/>
            </w:tcMar>
            <w:vAlign w:val="center"/>
          </w:tcPr>
          <w:p w14:paraId="4CEFD387" w14:textId="77777777" w:rsidR="006038A4" w:rsidRDefault="006038A4">
            <w:pPr>
              <w:keepNext/>
              <w:keepLines/>
              <w:spacing w:after="0" w:line="240" w:lineRule="auto"/>
            </w:pPr>
          </w:p>
        </w:tc>
        <w:tc>
          <w:tcPr>
            <w:tcW w:w="3180" w:type="dxa"/>
            <w:tcMar>
              <w:top w:w="0" w:type="dxa"/>
              <w:bottom w:w="0" w:type="dxa"/>
            </w:tcMar>
            <w:vAlign w:val="center"/>
          </w:tcPr>
          <w:p w14:paraId="2792B1C5" w14:textId="77777777" w:rsidR="006038A4"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1BA903C" w14:textId="77777777" w:rsidR="006038A4" w:rsidRDefault="00000000">
            <w:pPr>
              <w:keepNext/>
              <w:keepLines/>
              <w:spacing w:after="0" w:line="240" w:lineRule="auto"/>
            </w:pPr>
            <w:r>
              <w:rPr>
                <w:sz w:val="18"/>
              </w:rPr>
              <w:t>P018</w:t>
            </w:r>
          </w:p>
        </w:tc>
        <w:tc>
          <w:tcPr>
            <w:tcW w:w="1860" w:type="dxa"/>
            <w:tcMar>
              <w:top w:w="0" w:type="dxa"/>
              <w:bottom w:w="0" w:type="dxa"/>
            </w:tcMar>
            <w:vAlign w:val="center"/>
          </w:tcPr>
          <w:p w14:paraId="2D3C1415" w14:textId="77777777" w:rsidR="006038A4" w:rsidRDefault="00000000">
            <w:pPr>
              <w:keepNext/>
              <w:keepLines/>
              <w:spacing w:after="0" w:line="240" w:lineRule="auto"/>
              <w:jc w:val="right"/>
            </w:pPr>
            <w:r>
              <w:rPr>
                <w:sz w:val="18"/>
              </w:rPr>
              <w:t>0,00</w:t>
            </w:r>
          </w:p>
        </w:tc>
        <w:tc>
          <w:tcPr>
            <w:tcW w:w="1860" w:type="dxa"/>
            <w:tcMar>
              <w:top w:w="0" w:type="dxa"/>
              <w:bottom w:w="0" w:type="dxa"/>
            </w:tcMar>
            <w:vAlign w:val="center"/>
          </w:tcPr>
          <w:p w14:paraId="74DB2BA3" w14:textId="77777777" w:rsidR="006038A4" w:rsidRDefault="00000000">
            <w:pPr>
              <w:keepNext/>
              <w:keepLines/>
              <w:spacing w:after="0" w:line="240" w:lineRule="auto"/>
              <w:jc w:val="right"/>
            </w:pPr>
            <w:r>
              <w:rPr>
                <w:sz w:val="18"/>
              </w:rPr>
              <w:t>413,67</w:t>
            </w:r>
          </w:p>
        </w:tc>
        <w:tc>
          <w:tcPr>
            <w:tcW w:w="700" w:type="dxa"/>
            <w:tcMar>
              <w:top w:w="0" w:type="dxa"/>
              <w:bottom w:w="0" w:type="dxa"/>
            </w:tcMar>
            <w:vAlign w:val="center"/>
          </w:tcPr>
          <w:p w14:paraId="17260D65" w14:textId="77777777" w:rsidR="006038A4" w:rsidRDefault="00000000">
            <w:pPr>
              <w:keepNext/>
              <w:keepLines/>
              <w:spacing w:after="0" w:line="240" w:lineRule="auto"/>
              <w:jc w:val="right"/>
            </w:pPr>
            <w:r>
              <w:rPr>
                <w:sz w:val="18"/>
              </w:rPr>
              <w:t>-</w:t>
            </w:r>
          </w:p>
        </w:tc>
      </w:tr>
    </w:tbl>
    <w:p w14:paraId="0E47AC78" w14:textId="77777777" w:rsidR="006038A4" w:rsidRDefault="006038A4">
      <w:pPr>
        <w:spacing w:after="0"/>
      </w:pPr>
    </w:p>
    <w:p w14:paraId="6EB02453" w14:textId="77777777" w:rsidR="006038A4" w:rsidRDefault="00000000">
      <w:r>
        <w:t>Bilježi se smanjenje u obujmu imovine za iznos isknjižene opreme.</w:t>
      </w:r>
    </w:p>
    <w:p w14:paraId="766E6ED9" w14:textId="77777777" w:rsidR="006038A4" w:rsidRDefault="006038A4"/>
    <w:p w14:paraId="059F6DDA" w14:textId="77777777" w:rsidR="006038A4" w:rsidRDefault="00000000">
      <w:pPr>
        <w:keepNext/>
        <w:spacing w:line="240" w:lineRule="auto"/>
        <w:jc w:val="center"/>
      </w:pPr>
      <w:r>
        <w:rPr>
          <w:b/>
          <w:sz w:val="28"/>
        </w:rPr>
        <w:t>Izvještaj o obvezama</w:t>
      </w:r>
    </w:p>
    <w:p w14:paraId="5045F0C7" w14:textId="77777777" w:rsidR="006038A4"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038A4" w14:paraId="5CCAE9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32DF0E"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A3F0FC"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609F4F"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CC502C" w14:textId="77777777" w:rsidR="006038A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E2C83DA" w14:textId="77777777" w:rsidR="006038A4" w:rsidRDefault="00000000">
            <w:pPr>
              <w:keepNext/>
              <w:keepLines/>
              <w:spacing w:after="0" w:line="240" w:lineRule="auto"/>
              <w:jc w:val="center"/>
            </w:pPr>
            <w:r>
              <w:rPr>
                <w:b/>
                <w:sz w:val="18"/>
              </w:rPr>
              <w:t>Indeks (%)</w:t>
            </w:r>
          </w:p>
        </w:tc>
      </w:tr>
      <w:tr w:rsidR="006038A4" w14:paraId="621A7DD7" w14:textId="77777777">
        <w:tblPrEx>
          <w:tblCellMar>
            <w:top w:w="0" w:type="dxa"/>
            <w:bottom w:w="0" w:type="dxa"/>
          </w:tblCellMar>
        </w:tblPrEx>
        <w:trPr>
          <w:cantSplit/>
          <w:trHeight w:val="560"/>
        </w:trPr>
        <w:tc>
          <w:tcPr>
            <w:tcW w:w="700" w:type="dxa"/>
            <w:tcMar>
              <w:top w:w="0" w:type="dxa"/>
              <w:bottom w:w="0" w:type="dxa"/>
            </w:tcMar>
            <w:vAlign w:val="center"/>
          </w:tcPr>
          <w:p w14:paraId="6F796D96" w14:textId="77777777" w:rsidR="006038A4" w:rsidRDefault="006038A4">
            <w:pPr>
              <w:keepNext/>
              <w:keepLines/>
              <w:spacing w:after="0" w:line="240" w:lineRule="auto"/>
            </w:pPr>
          </w:p>
        </w:tc>
        <w:tc>
          <w:tcPr>
            <w:tcW w:w="3180" w:type="dxa"/>
            <w:tcMar>
              <w:top w:w="0" w:type="dxa"/>
              <w:bottom w:w="0" w:type="dxa"/>
            </w:tcMar>
            <w:vAlign w:val="center"/>
          </w:tcPr>
          <w:p w14:paraId="206E1233" w14:textId="77777777" w:rsidR="006038A4"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9BCE800" w14:textId="77777777" w:rsidR="006038A4" w:rsidRDefault="00000000">
            <w:pPr>
              <w:keepNext/>
              <w:keepLines/>
              <w:spacing w:after="0" w:line="240" w:lineRule="auto"/>
            </w:pPr>
            <w:r>
              <w:rPr>
                <w:sz w:val="18"/>
              </w:rPr>
              <w:t>V006</w:t>
            </w:r>
          </w:p>
        </w:tc>
        <w:tc>
          <w:tcPr>
            <w:tcW w:w="1860" w:type="dxa"/>
            <w:tcMar>
              <w:top w:w="0" w:type="dxa"/>
              <w:bottom w:w="0" w:type="dxa"/>
            </w:tcMar>
            <w:vAlign w:val="center"/>
          </w:tcPr>
          <w:p w14:paraId="1F1D07B1" w14:textId="77777777" w:rsidR="006038A4" w:rsidRDefault="00000000">
            <w:pPr>
              <w:keepNext/>
              <w:keepLines/>
              <w:spacing w:after="0" w:line="240" w:lineRule="auto"/>
              <w:jc w:val="right"/>
            </w:pPr>
            <w:r>
              <w:rPr>
                <w:sz w:val="18"/>
              </w:rPr>
              <w:t>60.843,42</w:t>
            </w:r>
          </w:p>
        </w:tc>
        <w:tc>
          <w:tcPr>
            <w:tcW w:w="700" w:type="dxa"/>
            <w:tcMar>
              <w:top w:w="0" w:type="dxa"/>
              <w:bottom w:w="0" w:type="dxa"/>
            </w:tcMar>
            <w:vAlign w:val="center"/>
          </w:tcPr>
          <w:p w14:paraId="37BCD3EA" w14:textId="77777777" w:rsidR="006038A4" w:rsidRDefault="00000000">
            <w:pPr>
              <w:keepNext/>
              <w:keepLines/>
              <w:spacing w:after="0" w:line="240" w:lineRule="auto"/>
              <w:jc w:val="right"/>
            </w:pPr>
            <w:r>
              <w:rPr>
                <w:sz w:val="18"/>
              </w:rPr>
              <w:t>-</w:t>
            </w:r>
          </w:p>
        </w:tc>
      </w:tr>
    </w:tbl>
    <w:p w14:paraId="2D5A8609" w14:textId="77777777" w:rsidR="006038A4" w:rsidRDefault="006038A4">
      <w:pPr>
        <w:spacing w:after="0"/>
      </w:pPr>
    </w:p>
    <w:p w14:paraId="04D4D473" w14:textId="77777777" w:rsidR="006038A4" w:rsidRDefault="00000000">
      <w:r>
        <w:t xml:space="preserve">JU Agencija nema dospjelih obveza na kraju izvještajnog razdoblja, sve obveze odnose se na plaću, kontinuirane materijalne rashode koji se sastoje od režijskih troškova, INA d.d., Zavod za informatiku Osijek, A1 Hrvatska, Telemach Hrvatska,  Mireo,  Hrvatska pošta, Valerija </w:t>
      </w:r>
      <w:r>
        <w:lastRenderedPageBreak/>
        <w:t>Hajduković obrt za čišćenje, Pirini -trade d.o.o.. Iznos režijskih troškova iznosi 1.408,87 €, plaća 12/2025 i drugi dohodak u iznosu od 33.780,30 €, te obveze za povrat proračunskih korisnika u proračun u iznosu od 25.654,25 €.</w:t>
      </w:r>
    </w:p>
    <w:p w14:paraId="73E6F6B2" w14:textId="77777777" w:rsidR="006038A4" w:rsidRDefault="006038A4"/>
    <w:p w14:paraId="7E931055" w14:textId="77777777" w:rsidR="006038A4"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038A4" w14:paraId="31372A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68EE1"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042D46"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49A0AE"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633A4" w14:textId="77777777" w:rsidR="006038A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17DAF1" w14:textId="77777777" w:rsidR="006038A4" w:rsidRDefault="00000000">
            <w:pPr>
              <w:keepNext/>
              <w:keepLines/>
              <w:spacing w:after="0" w:line="240" w:lineRule="auto"/>
              <w:jc w:val="center"/>
            </w:pPr>
            <w:r>
              <w:rPr>
                <w:b/>
                <w:sz w:val="18"/>
              </w:rPr>
              <w:t>Indeks (%)</w:t>
            </w:r>
          </w:p>
        </w:tc>
      </w:tr>
      <w:tr w:rsidR="006038A4" w14:paraId="2148FF39" w14:textId="77777777">
        <w:tblPrEx>
          <w:tblCellMar>
            <w:top w:w="0" w:type="dxa"/>
            <w:bottom w:w="0" w:type="dxa"/>
          </w:tblCellMar>
        </w:tblPrEx>
        <w:trPr>
          <w:cantSplit/>
          <w:trHeight w:val="560"/>
        </w:trPr>
        <w:tc>
          <w:tcPr>
            <w:tcW w:w="700" w:type="dxa"/>
            <w:tcMar>
              <w:top w:w="0" w:type="dxa"/>
              <w:bottom w:w="0" w:type="dxa"/>
            </w:tcMar>
            <w:vAlign w:val="center"/>
          </w:tcPr>
          <w:p w14:paraId="2C66D110" w14:textId="77777777" w:rsidR="006038A4" w:rsidRDefault="006038A4">
            <w:pPr>
              <w:keepNext/>
              <w:keepLines/>
              <w:spacing w:after="0" w:line="240" w:lineRule="auto"/>
            </w:pPr>
          </w:p>
        </w:tc>
        <w:tc>
          <w:tcPr>
            <w:tcW w:w="3180" w:type="dxa"/>
            <w:tcMar>
              <w:top w:w="0" w:type="dxa"/>
              <w:bottom w:w="0" w:type="dxa"/>
            </w:tcMar>
            <w:vAlign w:val="center"/>
          </w:tcPr>
          <w:p w14:paraId="7F6F14BF" w14:textId="77777777" w:rsidR="006038A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37BDD98" w14:textId="77777777" w:rsidR="006038A4" w:rsidRDefault="00000000">
            <w:pPr>
              <w:keepNext/>
              <w:keepLines/>
              <w:spacing w:after="0" w:line="240" w:lineRule="auto"/>
            </w:pPr>
            <w:r>
              <w:rPr>
                <w:sz w:val="18"/>
              </w:rPr>
              <w:t>V007</w:t>
            </w:r>
          </w:p>
        </w:tc>
        <w:tc>
          <w:tcPr>
            <w:tcW w:w="1860" w:type="dxa"/>
            <w:tcMar>
              <w:top w:w="0" w:type="dxa"/>
              <w:bottom w:w="0" w:type="dxa"/>
            </w:tcMar>
            <w:vAlign w:val="center"/>
          </w:tcPr>
          <w:p w14:paraId="21F0F3F3" w14:textId="77777777" w:rsidR="006038A4" w:rsidRDefault="00000000">
            <w:pPr>
              <w:keepNext/>
              <w:keepLines/>
              <w:spacing w:after="0" w:line="240" w:lineRule="auto"/>
              <w:jc w:val="right"/>
            </w:pPr>
            <w:r>
              <w:rPr>
                <w:sz w:val="18"/>
              </w:rPr>
              <w:t>0,00</w:t>
            </w:r>
          </w:p>
        </w:tc>
        <w:tc>
          <w:tcPr>
            <w:tcW w:w="700" w:type="dxa"/>
            <w:tcMar>
              <w:top w:w="0" w:type="dxa"/>
              <w:bottom w:w="0" w:type="dxa"/>
            </w:tcMar>
            <w:vAlign w:val="center"/>
          </w:tcPr>
          <w:p w14:paraId="33CB820D" w14:textId="77777777" w:rsidR="006038A4" w:rsidRDefault="00000000">
            <w:pPr>
              <w:keepNext/>
              <w:keepLines/>
              <w:spacing w:after="0" w:line="240" w:lineRule="auto"/>
              <w:jc w:val="right"/>
            </w:pPr>
            <w:r>
              <w:rPr>
                <w:sz w:val="18"/>
              </w:rPr>
              <w:t>-</w:t>
            </w:r>
          </w:p>
        </w:tc>
      </w:tr>
    </w:tbl>
    <w:p w14:paraId="0873E0A9" w14:textId="77777777" w:rsidR="006038A4" w:rsidRDefault="006038A4">
      <w:pPr>
        <w:spacing w:after="0"/>
      </w:pPr>
    </w:p>
    <w:p w14:paraId="607E7AA6" w14:textId="77777777" w:rsidR="006038A4" w:rsidRDefault="00000000">
      <w:r>
        <w:t>JU Agencija nema dospjelih obveza na kraju izvještajnog razdoblja, sve obveze odnose se na plaću, kontinuirane materijalne rashode koji se sastoje od režijskih troškova, INA d.d., Zavod za informatiku Osijek, A1 Hrvatska, Telemach Hrvatska,  Mireo,  Hrvatska pošta, Valerija Hajduković obrt za čišćenje, Pirini -trade d.o.o.. Iznos režijskih troškova iznosi 1.408,87 €, plaća 12/2025 i drugi dohodak u iznosu od 33.780,30 €, te obveze za povrat proračunskih korisnika u proračun u iznosu od 25.654,25 €.</w:t>
      </w:r>
    </w:p>
    <w:p w14:paraId="6F34288A" w14:textId="77777777" w:rsidR="006038A4" w:rsidRDefault="006038A4"/>
    <w:p w14:paraId="3F042819" w14:textId="77777777" w:rsidR="006038A4"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038A4" w14:paraId="710FDC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32B90" w14:textId="77777777" w:rsidR="006038A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2AFD0B" w14:textId="77777777" w:rsidR="006038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A5EA6" w14:textId="77777777" w:rsidR="006038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DBD00" w14:textId="77777777" w:rsidR="006038A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5899C4" w14:textId="77777777" w:rsidR="006038A4" w:rsidRDefault="00000000">
            <w:pPr>
              <w:keepNext/>
              <w:keepLines/>
              <w:spacing w:after="0" w:line="240" w:lineRule="auto"/>
              <w:jc w:val="center"/>
            </w:pPr>
            <w:r>
              <w:rPr>
                <w:b/>
                <w:sz w:val="18"/>
              </w:rPr>
              <w:t>Indeks (%)</w:t>
            </w:r>
          </w:p>
        </w:tc>
      </w:tr>
      <w:tr w:rsidR="006038A4" w14:paraId="4270CBE2" w14:textId="77777777">
        <w:tblPrEx>
          <w:tblCellMar>
            <w:top w:w="0" w:type="dxa"/>
            <w:bottom w:w="0" w:type="dxa"/>
          </w:tblCellMar>
        </w:tblPrEx>
        <w:trPr>
          <w:cantSplit/>
          <w:trHeight w:val="560"/>
        </w:trPr>
        <w:tc>
          <w:tcPr>
            <w:tcW w:w="700" w:type="dxa"/>
            <w:tcMar>
              <w:top w:w="0" w:type="dxa"/>
              <w:bottom w:w="0" w:type="dxa"/>
            </w:tcMar>
            <w:vAlign w:val="center"/>
          </w:tcPr>
          <w:p w14:paraId="087F953B" w14:textId="77777777" w:rsidR="006038A4" w:rsidRDefault="006038A4">
            <w:pPr>
              <w:keepNext/>
              <w:keepLines/>
              <w:spacing w:after="0" w:line="240" w:lineRule="auto"/>
            </w:pPr>
          </w:p>
        </w:tc>
        <w:tc>
          <w:tcPr>
            <w:tcW w:w="3180" w:type="dxa"/>
            <w:tcMar>
              <w:top w:w="0" w:type="dxa"/>
              <w:bottom w:w="0" w:type="dxa"/>
            </w:tcMar>
            <w:vAlign w:val="center"/>
          </w:tcPr>
          <w:p w14:paraId="218C9FEC" w14:textId="77777777" w:rsidR="006038A4"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ADFF003" w14:textId="77777777" w:rsidR="006038A4" w:rsidRDefault="00000000">
            <w:pPr>
              <w:keepNext/>
              <w:keepLines/>
              <w:spacing w:after="0" w:line="240" w:lineRule="auto"/>
            </w:pPr>
            <w:r>
              <w:rPr>
                <w:sz w:val="18"/>
              </w:rPr>
              <w:t>V009</w:t>
            </w:r>
          </w:p>
        </w:tc>
        <w:tc>
          <w:tcPr>
            <w:tcW w:w="1860" w:type="dxa"/>
            <w:tcMar>
              <w:top w:w="0" w:type="dxa"/>
              <w:bottom w:w="0" w:type="dxa"/>
            </w:tcMar>
            <w:vAlign w:val="center"/>
          </w:tcPr>
          <w:p w14:paraId="6C075D4F" w14:textId="77777777" w:rsidR="006038A4" w:rsidRDefault="00000000">
            <w:pPr>
              <w:keepNext/>
              <w:keepLines/>
              <w:spacing w:after="0" w:line="240" w:lineRule="auto"/>
              <w:jc w:val="right"/>
            </w:pPr>
            <w:r>
              <w:rPr>
                <w:sz w:val="18"/>
              </w:rPr>
              <w:t>60.843,42</w:t>
            </w:r>
          </w:p>
        </w:tc>
        <w:tc>
          <w:tcPr>
            <w:tcW w:w="700" w:type="dxa"/>
            <w:tcMar>
              <w:top w:w="0" w:type="dxa"/>
              <w:bottom w:w="0" w:type="dxa"/>
            </w:tcMar>
            <w:vAlign w:val="center"/>
          </w:tcPr>
          <w:p w14:paraId="71937EB5" w14:textId="77777777" w:rsidR="006038A4" w:rsidRDefault="00000000">
            <w:pPr>
              <w:keepNext/>
              <w:keepLines/>
              <w:spacing w:after="0" w:line="240" w:lineRule="auto"/>
              <w:jc w:val="right"/>
            </w:pPr>
            <w:r>
              <w:rPr>
                <w:sz w:val="18"/>
              </w:rPr>
              <w:t>-</w:t>
            </w:r>
          </w:p>
        </w:tc>
      </w:tr>
    </w:tbl>
    <w:p w14:paraId="7C4A66C1" w14:textId="77777777" w:rsidR="006038A4" w:rsidRDefault="006038A4">
      <w:pPr>
        <w:spacing w:after="0"/>
      </w:pPr>
    </w:p>
    <w:p w14:paraId="4D54E928" w14:textId="77777777" w:rsidR="006038A4" w:rsidRDefault="00000000">
      <w:r>
        <w:t>JU Agencija nema dospjelih obveza na kraju izvještajnog razdoblja, sve obveze odnose se na plaću, kontinuirane materijalne rashode koji se sastoje od režijskih troškova, INA d.d., Zavod za informatiku Osijek, A1 Hrvatska, Telemach Hrvatska,  Mireo,  Hrvatska pošta, Valerija Hajduković obrt za čišćenje, Pirini -trade d.o.o.. Iznos režijskih troškova iznosi 1.408,87 €, plaća 12/2025 i drugi dohodak u iznosu od 33.780,30 €, te obveze za povrat proračunskih korisnika u proračun u iznosu od 25.654,25 €.</w:t>
      </w:r>
    </w:p>
    <w:p w14:paraId="4D8184DD" w14:textId="77777777" w:rsidR="006038A4" w:rsidRDefault="006038A4"/>
    <w:p w14:paraId="7CD2EA3F" w14:textId="77777777" w:rsidR="006038A4" w:rsidRDefault="00000000">
      <w:pPr>
        <w:keepNext/>
        <w:spacing w:line="240" w:lineRule="auto"/>
        <w:jc w:val="center"/>
      </w:pPr>
      <w:r>
        <w:rPr>
          <w:sz w:val="28"/>
        </w:rPr>
        <w:t>Bilješka 37.</w:t>
      </w:r>
    </w:p>
    <w:p w14:paraId="42717C88" w14:textId="77777777" w:rsidR="006038A4" w:rsidRDefault="00000000">
      <w:pPr>
        <w:spacing w:line="240" w:lineRule="auto"/>
        <w:jc w:val="both"/>
      </w:pPr>
      <w:r>
        <w:rPr>
          <w:b/>
        </w:rPr>
        <w:t>EU izvještaj</w:t>
      </w:r>
    </w:p>
    <w:p w14:paraId="16C33ACF" w14:textId="77777777" w:rsidR="006038A4" w:rsidRDefault="00000000">
      <w:r>
        <w:t>Bilježi se evidentiranje prihoda u iznosu od 23.766,07 € i rashoda u iznosu od 21.638,15 €,u izvještajnom razdoblju za tekuće projekte financirane od institucija i tijela EU (Izvor 510). Bilježi se veći iznos prihoda u odnosu na rashode jer su sredstva uplaćena po periodičnim obračunima sukladno Ugovoru o projektu Horizon Climempower, koji je u 100 % iznosu predfinanciran.</w:t>
      </w:r>
    </w:p>
    <w:p w14:paraId="5AB3E306" w14:textId="77777777" w:rsidR="006038A4" w:rsidRDefault="006038A4"/>
    <w:sectPr w:rsidR="00603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A4"/>
    <w:rsid w:val="00171F8E"/>
    <w:rsid w:val="006038A4"/>
    <w:rsid w:val="00B577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CBDC"/>
  <w15:docId w15:val="{3757CF8B-FA8B-4500-BF8E-1788712A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2633</Words>
  <Characters>15012</Characters>
  <Application>Microsoft Office Word</Application>
  <DocSecurity>0</DocSecurity>
  <Lines>125</Lines>
  <Paragraphs>35</Paragraphs>
  <ScaleCrop>false</ScaleCrop>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juag cija</cp:lastModifiedBy>
  <cp:revision>2</cp:revision>
  <dcterms:created xsi:type="dcterms:W3CDTF">2026-02-02T13:45:00Z</dcterms:created>
  <dcterms:modified xsi:type="dcterms:W3CDTF">2026-02-02T13:45:00Z</dcterms:modified>
</cp:coreProperties>
</file>